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48AF" w14:textId="77777777" w:rsidR="00AC0201" w:rsidRPr="00AC0201" w:rsidRDefault="00AC0201" w:rsidP="00AC0201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color w:val="333333"/>
          <w:sz w:val="28"/>
          <w:szCs w:val="28"/>
        </w:rPr>
      </w:pPr>
      <w:r w:rsidRPr="00AC0201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5C9E42B4" wp14:editId="0E6F7388">
            <wp:extent cx="432000" cy="612000"/>
            <wp:effectExtent l="0" t="0" r="635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B62875" w14:textId="77777777" w:rsidR="00AC0201" w:rsidRPr="00AC0201" w:rsidRDefault="00AC0201" w:rsidP="00AC0201">
      <w:pPr>
        <w:pStyle w:val="a3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0201" w:rsidRPr="00AC0201" w14:paraId="7219F15E" w14:textId="77777777" w:rsidTr="00EB56AC">
        <w:tc>
          <w:tcPr>
            <w:tcW w:w="9628" w:type="dxa"/>
          </w:tcPr>
          <w:p w14:paraId="133AE3E7" w14:textId="7B9A4EBC" w:rsidR="00AC0201" w:rsidRPr="00AC0201" w:rsidRDefault="001A7A3F" w:rsidP="00AC020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ФОНТАНСЬКА</w:t>
            </w:r>
            <w:r w:rsidR="00AC0201" w:rsidRPr="00AC0201">
              <w:rPr>
                <w:rFonts w:ascii="Times New Roman" w:hAnsi="Times New Roman"/>
                <w:b/>
                <w:sz w:val="32"/>
                <w:szCs w:val="32"/>
              </w:rPr>
              <w:t xml:space="preserve"> СІЛЬСЬКА РАДА </w:t>
            </w:r>
          </w:p>
          <w:p w14:paraId="5545CEC3" w14:textId="77777777" w:rsidR="00AC0201" w:rsidRPr="00AC0201" w:rsidRDefault="00AC0201" w:rsidP="00AC020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C0201"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AC0201" w:rsidRPr="00AC0201" w14:paraId="04AEAEF6" w14:textId="77777777" w:rsidTr="00EB56AC">
        <w:tc>
          <w:tcPr>
            <w:tcW w:w="9628" w:type="dxa"/>
          </w:tcPr>
          <w:p w14:paraId="684D9DE1" w14:textId="77777777" w:rsidR="00AC0201" w:rsidRPr="00AC0201" w:rsidRDefault="00AC0201" w:rsidP="00AC020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0201" w:rsidRPr="00AC0201" w14:paraId="2F6B17A5" w14:textId="77777777" w:rsidTr="00EB56AC">
        <w:tc>
          <w:tcPr>
            <w:tcW w:w="9628" w:type="dxa"/>
          </w:tcPr>
          <w:p w14:paraId="3C7ACE43" w14:textId="77777777" w:rsidR="00AC0201" w:rsidRPr="00AC0201" w:rsidRDefault="00AC0201" w:rsidP="00AC0201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4E47B156" w14:textId="77777777" w:rsidR="00AC0201" w:rsidRPr="00AC0201" w:rsidRDefault="00AC0201" w:rsidP="00AC0201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3A76E1E5" w14:textId="77777777" w:rsidR="00AC0201" w:rsidRPr="00AC0201" w:rsidRDefault="00AC0201" w:rsidP="00AC0201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sz w:val="6"/>
          <w:szCs w:val="6"/>
        </w:rPr>
      </w:pPr>
    </w:p>
    <w:p w14:paraId="168B454B" w14:textId="137A0F9F" w:rsidR="00E143B7" w:rsidRPr="00CD36FF" w:rsidRDefault="00E143B7" w:rsidP="00E143B7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D36FF">
        <w:rPr>
          <w:rFonts w:ascii="Times New Roman" w:hAnsi="Times New Roman"/>
          <w:b/>
          <w:bCs/>
          <w:sz w:val="28"/>
          <w:szCs w:val="28"/>
          <w:lang w:val="uk-UA"/>
        </w:rPr>
        <w:t>Р І Ш Е Н Н Я  С Е С І Ї</w:t>
      </w:r>
    </w:p>
    <w:p w14:paraId="4CDF7C5D" w14:textId="2A690A5C" w:rsidR="00D168B8" w:rsidRDefault="00D168B8" w:rsidP="00D168B8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C0201">
        <w:rPr>
          <w:rFonts w:ascii="Times New Roman" w:hAnsi="Times New Roman"/>
          <w:sz w:val="28"/>
          <w:szCs w:val="28"/>
        </w:rPr>
        <w:t>VIII скликання</w:t>
      </w:r>
    </w:p>
    <w:p w14:paraId="1ABF41E4" w14:textId="77777777" w:rsidR="00BD5525" w:rsidRPr="00AC0201" w:rsidRDefault="00BD5525" w:rsidP="00D168B8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E0236B3" w14:textId="257B8D07" w:rsidR="00D45E2E" w:rsidRPr="00D45E2E" w:rsidRDefault="00D45E2E" w:rsidP="00D45E2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>від “22” вересня 2025 року</w:t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3306</w:t>
      </w:r>
      <w:r w:rsidRPr="00D45E2E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D45E2E">
        <w:rPr>
          <w:rFonts w:ascii="Times New Roman" w:hAnsi="Times New Roman"/>
          <w:b/>
          <w:sz w:val="28"/>
          <w:szCs w:val="28"/>
        </w:rPr>
        <w:t>VIII</w:t>
      </w:r>
    </w:p>
    <w:p w14:paraId="09F16892" w14:textId="77777777" w:rsidR="00D45E2E" w:rsidRPr="00D45E2E" w:rsidRDefault="00D45E2E" w:rsidP="00D45E2E">
      <w:pPr>
        <w:pStyle w:val="a3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7E66AB0" w14:textId="4E3672ED" w:rsid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</w:p>
    <w:p w14:paraId="3817B481" w14:textId="155BA570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31475476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Указу Президента України від 7 серпня 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№468/2025 </w:t>
      </w:r>
      <w:r w:rsidR="001D14B4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продовження строку дії воєнного стану в Україні» продовжити строк дії воєнного стану в Україні з 05 години 30 хвилин 7 серпня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2025 року строком на 90 діб,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</w:t>
      </w:r>
      <w:r w:rsidR="009E2986" w:rsidRPr="00A24362">
        <w:lastRenderedPageBreak/>
        <w:t xml:space="preserve">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3697B35" w14:textId="77777777" w:rsidR="003B57AC" w:rsidRPr="003B57AC" w:rsidRDefault="003B57AC" w:rsidP="003B57AC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57AC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3B57AC">
        <w:rPr>
          <w:rFonts w:ascii="Times New Roman" w:hAnsi="Times New Roman"/>
          <w:b/>
          <w:sz w:val="28"/>
          <w:szCs w:val="28"/>
          <w:lang w:val="uk-UA"/>
        </w:rPr>
        <w:tab/>
      </w:r>
      <w:r w:rsidRPr="003B57AC">
        <w:rPr>
          <w:rFonts w:ascii="Times New Roman" w:hAnsi="Times New Roman"/>
          <w:b/>
          <w:sz w:val="28"/>
          <w:szCs w:val="28"/>
          <w:lang w:val="uk-UA"/>
        </w:rPr>
        <w:tab/>
      </w:r>
      <w:r w:rsidRPr="003B57AC">
        <w:rPr>
          <w:rFonts w:ascii="Times New Roman" w:hAnsi="Times New Roman"/>
          <w:b/>
          <w:sz w:val="28"/>
          <w:szCs w:val="28"/>
          <w:lang w:val="uk-UA"/>
        </w:rPr>
        <w:tab/>
      </w:r>
      <w:r w:rsidRPr="003B57AC">
        <w:rPr>
          <w:rFonts w:ascii="Times New Roman" w:hAnsi="Times New Roman"/>
          <w:b/>
          <w:sz w:val="28"/>
          <w:szCs w:val="28"/>
          <w:lang w:val="uk-UA"/>
        </w:rPr>
        <w:tab/>
      </w:r>
      <w:r w:rsidRPr="003B57AC">
        <w:rPr>
          <w:rFonts w:ascii="Times New Roman" w:hAnsi="Times New Roman"/>
          <w:b/>
          <w:sz w:val="28"/>
          <w:szCs w:val="28"/>
          <w:lang w:val="uk-UA"/>
        </w:rPr>
        <w:tab/>
      </w:r>
      <w:r w:rsidRPr="003B57AC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386FD49B" w14:textId="353C0CC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0904449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99893DC" w14:textId="77777777" w:rsidR="00DE3539" w:rsidRDefault="00DE3539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36E62FA2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6081CAF" w14:textId="77777777" w:rsidR="003B57AC" w:rsidRDefault="003B57A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151732E4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lastRenderedPageBreak/>
        <w:t xml:space="preserve">Додаток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501B0045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3B57AC">
        <w:rPr>
          <w:rFonts w:ascii="Times New Roman" w:hAnsi="Times New Roman"/>
          <w:sz w:val="16"/>
          <w:szCs w:val="16"/>
          <w:lang w:val="uk-UA"/>
        </w:rPr>
        <w:t>3306-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3B57AC">
        <w:rPr>
          <w:rFonts w:ascii="Times New Roman" w:hAnsi="Times New Roman"/>
          <w:sz w:val="16"/>
          <w:szCs w:val="16"/>
          <w:lang w:val="uk-UA"/>
        </w:rPr>
        <w:t>22.09</w:t>
      </w:r>
      <w:r w:rsidR="00C36E9F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0BB5C79C" w:rsidR="009173D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7B77134" w14:textId="337EC74F" w:rsidR="00D52586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AF2D35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B6753F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B6753F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9173D5">
        <w:trPr>
          <w:trHeight w:hRule="exact" w:val="2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4659F185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  <w:r w:rsidR="00804F08">
              <w:rPr>
                <w:rFonts w:ascii="Times New Roman" w:hAnsi="Times New Roman"/>
                <w:sz w:val="20"/>
                <w:szCs w:val="20"/>
                <w:lang w:val="uk-UA"/>
              </w:rPr>
              <w:t>, вч А5148</w:t>
            </w:r>
            <w:r w:rsidR="00D36BE8">
              <w:rPr>
                <w:rFonts w:ascii="Times New Roman" w:hAnsi="Times New Roman"/>
                <w:sz w:val="20"/>
                <w:szCs w:val="20"/>
                <w:lang w:val="uk-UA"/>
              </w:rPr>
              <w:t>, вч А4855.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F15CF2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77777777" w:rsidR="00937C1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  <w:p w14:paraId="4F51182E" w14:textId="77777777" w:rsidR="00D52586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87D80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B6753F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AF2D35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Загальний обсяг </w:t>
            </w:r>
            <w:r w:rsidR="001704CC">
              <w:rPr>
                <w:rStyle w:val="211pt"/>
                <w:b w:val="0"/>
                <w:sz w:val="20"/>
                <w:szCs w:val="20"/>
              </w:rPr>
              <w:t>ф</w:t>
            </w:r>
            <w:r w:rsidRPr="00AF2D35">
              <w:rPr>
                <w:rStyle w:val="211pt"/>
                <w:b w:val="0"/>
                <w:sz w:val="20"/>
                <w:szCs w:val="20"/>
              </w:rPr>
              <w:t>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3732368F" w:rsidR="00464AD2" w:rsidRPr="003B57AC" w:rsidRDefault="00B6753F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66 210 273</w:t>
            </w:r>
            <w:r w:rsidR="00305EDA" w:rsidRPr="003B57A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3B57AC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3B57AC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3B57AC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3B57AC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93EC0EF" w14:textId="77777777" w:rsidR="00B6753F" w:rsidRPr="003B57AC" w:rsidRDefault="00B6753F" w:rsidP="00B6753F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66 210 273</w:t>
            </w:r>
            <w:r w:rsidRPr="003B57A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077C632D" w14:textId="77777777" w:rsidR="00B6753F" w:rsidRPr="003B57AC" w:rsidRDefault="00B6753F" w:rsidP="00B6753F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3B57AC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3" w:name="_GoBack"/>
            <w:bookmarkEnd w:id="3"/>
            <w:r w:rsidRPr="003B57AC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3B57AC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B6753F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3B57AC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B57AC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3B57AC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B6753F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27880888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5AABE229" w14:textId="77777777" w:rsidR="00804F08" w:rsidRPr="00804F08" w:rsidRDefault="00804F08" w:rsidP="00804F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F102B52" w14:textId="77777777" w:rsidR="00804F08" w:rsidRPr="00804F08" w:rsidRDefault="00804F08" w:rsidP="00804F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A5A95E5" w14:textId="77777777" w:rsidR="00804F08" w:rsidRPr="00804F08" w:rsidRDefault="00804F08" w:rsidP="00804F0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35595F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19B249A3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67BFA790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3E8C341B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23B7D856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5EF31DA1" w14:textId="77777777" w:rsidR="00804F08" w:rsidRPr="00804F08" w:rsidRDefault="00804F08" w:rsidP="00804F08">
      <w:pPr>
        <w:rPr>
          <w:rFonts w:ascii="Times New Roman" w:hAnsi="Times New Roman"/>
          <w:sz w:val="28"/>
          <w:szCs w:val="28"/>
          <w:lang w:val="uk-UA"/>
        </w:rPr>
      </w:pPr>
    </w:p>
    <w:p w14:paraId="6E500099" w14:textId="77777777" w:rsidR="00D52586" w:rsidRDefault="00D52586" w:rsidP="00D52586">
      <w:pPr>
        <w:spacing w:after="5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sectPr w:rsidR="00D52586" w:rsidSect="001A7A3F">
      <w:pgSz w:w="11906" w:h="16838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D7832" w14:textId="77777777" w:rsidR="00794BD9" w:rsidRDefault="00794BD9" w:rsidP="00141DE9">
      <w:pPr>
        <w:spacing w:after="0" w:line="240" w:lineRule="auto"/>
      </w:pPr>
      <w:r>
        <w:separator/>
      </w:r>
    </w:p>
  </w:endnote>
  <w:endnote w:type="continuationSeparator" w:id="0">
    <w:p w14:paraId="78C73BB1" w14:textId="77777777" w:rsidR="00794BD9" w:rsidRDefault="00794BD9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FD70B" w14:textId="77777777" w:rsidR="00794BD9" w:rsidRDefault="00794BD9" w:rsidP="00141DE9">
      <w:pPr>
        <w:spacing w:after="0" w:line="240" w:lineRule="auto"/>
      </w:pPr>
      <w:r>
        <w:separator/>
      </w:r>
    </w:p>
  </w:footnote>
  <w:footnote w:type="continuationSeparator" w:id="0">
    <w:p w14:paraId="22257A25" w14:textId="77777777" w:rsidR="00794BD9" w:rsidRDefault="00794BD9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83D"/>
    <w:rsid w:val="00155856"/>
    <w:rsid w:val="0016175D"/>
    <w:rsid w:val="00161E28"/>
    <w:rsid w:val="00163B01"/>
    <w:rsid w:val="001704CC"/>
    <w:rsid w:val="00171256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7AC"/>
    <w:rsid w:val="003B5CFF"/>
    <w:rsid w:val="003B6360"/>
    <w:rsid w:val="003B72D2"/>
    <w:rsid w:val="003C07EB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62DA"/>
    <w:rsid w:val="004A12EF"/>
    <w:rsid w:val="004A3B58"/>
    <w:rsid w:val="004B364B"/>
    <w:rsid w:val="004B42ED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4035E"/>
    <w:rsid w:val="00644074"/>
    <w:rsid w:val="00647B1F"/>
    <w:rsid w:val="00650A5B"/>
    <w:rsid w:val="00653C3D"/>
    <w:rsid w:val="00656E53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47BE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4BD9"/>
    <w:rsid w:val="0079564C"/>
    <w:rsid w:val="00797221"/>
    <w:rsid w:val="00797A3B"/>
    <w:rsid w:val="007A01C5"/>
    <w:rsid w:val="007A1487"/>
    <w:rsid w:val="007B0B26"/>
    <w:rsid w:val="007B3C4D"/>
    <w:rsid w:val="007B49B9"/>
    <w:rsid w:val="007C1975"/>
    <w:rsid w:val="007C3BBC"/>
    <w:rsid w:val="007C3D85"/>
    <w:rsid w:val="007D2DC5"/>
    <w:rsid w:val="007D6DA6"/>
    <w:rsid w:val="007E1D05"/>
    <w:rsid w:val="007E6966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6753F"/>
    <w:rsid w:val="00B70A74"/>
    <w:rsid w:val="00B7106E"/>
    <w:rsid w:val="00B719ED"/>
    <w:rsid w:val="00B72952"/>
    <w:rsid w:val="00B7487F"/>
    <w:rsid w:val="00B76A98"/>
    <w:rsid w:val="00B81778"/>
    <w:rsid w:val="00B84095"/>
    <w:rsid w:val="00B840AB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630B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43BE"/>
    <w:rsid w:val="00D34D75"/>
    <w:rsid w:val="00D36BE8"/>
    <w:rsid w:val="00D4031F"/>
    <w:rsid w:val="00D44DD6"/>
    <w:rsid w:val="00D4563D"/>
    <w:rsid w:val="00D45B1A"/>
    <w:rsid w:val="00D45E2E"/>
    <w:rsid w:val="00D47EA5"/>
    <w:rsid w:val="00D50795"/>
    <w:rsid w:val="00D5137A"/>
    <w:rsid w:val="00D52586"/>
    <w:rsid w:val="00D5310B"/>
    <w:rsid w:val="00D54F82"/>
    <w:rsid w:val="00D55357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4707"/>
    <w:rsid w:val="00DD1ED0"/>
    <w:rsid w:val="00DD449B"/>
    <w:rsid w:val="00DE22C7"/>
    <w:rsid w:val="00DE3539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11C9"/>
    <w:rsid w:val="00E3413F"/>
    <w:rsid w:val="00E43AD8"/>
    <w:rsid w:val="00E44B5B"/>
    <w:rsid w:val="00E450E8"/>
    <w:rsid w:val="00E46230"/>
    <w:rsid w:val="00E47DCC"/>
    <w:rsid w:val="00E50B94"/>
    <w:rsid w:val="00E529BF"/>
    <w:rsid w:val="00E53926"/>
    <w:rsid w:val="00E54E45"/>
    <w:rsid w:val="00E5503A"/>
    <w:rsid w:val="00E55EE5"/>
    <w:rsid w:val="00E664DD"/>
    <w:rsid w:val="00E671BF"/>
    <w:rsid w:val="00E67549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A83A-4558-405A-93B0-FCEDD6FA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4180</Words>
  <Characters>2384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19</cp:revision>
  <cp:lastPrinted>2025-08-22T05:35:00Z</cp:lastPrinted>
  <dcterms:created xsi:type="dcterms:W3CDTF">2025-09-03T05:56:00Z</dcterms:created>
  <dcterms:modified xsi:type="dcterms:W3CDTF">2026-01-15T14:53:00Z</dcterms:modified>
</cp:coreProperties>
</file>