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9E" w:rsidRPr="00C048F0" w:rsidRDefault="00351D9E" w:rsidP="00351D9E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1D9E" w:rsidRPr="00D4212A" w:rsidRDefault="00351D9E" w:rsidP="00351D9E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Antiqua" w:hAnsi="Antiqua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464BF1B6" wp14:editId="6A84A66F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9E" w:rsidRPr="00D4212A" w:rsidRDefault="00351D9E" w:rsidP="00351D9E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351D9E" w:rsidRPr="00D4212A" w:rsidRDefault="00351D9E" w:rsidP="00351D9E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У К Р А Ї Н А</w:t>
      </w:r>
    </w:p>
    <w:p w:rsidR="00351D9E" w:rsidRPr="00D4212A" w:rsidRDefault="00351D9E" w:rsidP="00351D9E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ФОНТАНСЬКА СІЛЬСЬКА РАДА</w:t>
      </w:r>
    </w:p>
    <w:p w:rsidR="00351D9E" w:rsidRPr="00D4212A" w:rsidRDefault="00351D9E" w:rsidP="00351D9E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ОДЕСЬКОГО РАЙОНУ ОДЕСЬКОЇ ОБЛАСТІ</w:t>
      </w:r>
    </w:p>
    <w:p w:rsidR="00351D9E" w:rsidRPr="00D4212A" w:rsidRDefault="00351D9E" w:rsidP="00351D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351D9E" w:rsidRPr="00E03B72" w:rsidRDefault="00351D9E" w:rsidP="0035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3B7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51D9E" w:rsidRPr="00E03B72" w:rsidRDefault="00351D9E" w:rsidP="0035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П’ятдесят першої</w:t>
      </w: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 w:rsidRPr="00E03B72">
        <w:rPr>
          <w:rFonts w:ascii="Times New Roman" w:hAnsi="Times New Roman"/>
          <w:b/>
          <w:sz w:val="28"/>
          <w:szCs w:val="28"/>
          <w:lang w:val="uk-UA"/>
        </w:rPr>
        <w:t>Фонтанської</w:t>
      </w:r>
      <w:proofErr w:type="spellEnd"/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B9455E">
        <w:rPr>
          <w:rFonts w:ascii="Times New Roman" w:hAnsi="Times New Roman"/>
          <w:b/>
          <w:sz w:val="28"/>
          <w:szCs w:val="28"/>
        </w:rPr>
        <w:t>VIII</w:t>
      </w: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351D9E" w:rsidRPr="00B9455E" w:rsidRDefault="00351D9E" w:rsidP="0035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455E">
        <w:rPr>
          <w:rFonts w:ascii="Times New Roman" w:hAnsi="Times New Roman"/>
          <w:b/>
          <w:sz w:val="28"/>
          <w:szCs w:val="28"/>
        </w:rPr>
        <w:t>с.Фонтанка</w:t>
      </w:r>
      <w:proofErr w:type="spellEnd"/>
    </w:p>
    <w:p w:rsidR="00351D9E" w:rsidRPr="00B9455E" w:rsidRDefault="00351D9E" w:rsidP="0035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D9E" w:rsidRPr="00B9455E" w:rsidRDefault="00351D9E" w:rsidP="00351D9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55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455E">
        <w:rPr>
          <w:rFonts w:ascii="Times New Roman" w:hAnsi="Times New Roman"/>
          <w:b/>
          <w:sz w:val="28"/>
          <w:szCs w:val="28"/>
        </w:rPr>
        <w:t xml:space="preserve">- VIII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05</w:t>
      </w:r>
      <w:r w:rsidRPr="00B94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березня </w:t>
      </w: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9455E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AB49CC" w:rsidRPr="000B2639" w:rsidRDefault="00AB49CC" w:rsidP="00AB49CC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AB49CC" w:rsidRPr="000B2639" w:rsidRDefault="00AB49CC" w:rsidP="00AB49CC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B49CC" w:rsidRPr="000B2639" w:rsidRDefault="00AB49CC" w:rsidP="00AB49CC">
      <w:pPr>
        <w:spacing w:after="0"/>
        <w:ind w:right="-86"/>
        <w:rPr>
          <w:rFonts w:ascii="Times New Roman" w:hAnsi="Times New Roman"/>
          <w:b/>
          <w:sz w:val="28"/>
          <w:szCs w:val="28"/>
          <w:lang w:val="uk-UA"/>
        </w:rPr>
      </w:pPr>
      <w:r w:rsidRPr="000B2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</w:t>
      </w:r>
      <w:r w:rsidRPr="000B2639">
        <w:rPr>
          <w:rFonts w:ascii="Times New Roman" w:hAnsi="Times New Roman"/>
          <w:b/>
          <w:sz w:val="28"/>
          <w:szCs w:val="28"/>
          <w:lang w:val="uk-UA"/>
        </w:rPr>
        <w:t>звіту про виконання</w:t>
      </w:r>
    </w:p>
    <w:p w:rsidR="00AB49CC" w:rsidRPr="000B2639" w:rsidRDefault="00AB49CC" w:rsidP="00AB49C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2639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розвитку та фінансової підтримки </w:t>
      </w:r>
    </w:p>
    <w:p w:rsidR="00AB49CC" w:rsidRPr="000B2639" w:rsidRDefault="00AB49CC" w:rsidP="00AB49C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підприємства «Надія» </w:t>
      </w:r>
      <w:proofErr w:type="spellStart"/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Фонтанської</w:t>
      </w:r>
      <w:proofErr w:type="spellEnd"/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сільської ради </w:t>
      </w:r>
    </w:p>
    <w:p w:rsidR="00AB49CC" w:rsidRPr="000B2639" w:rsidRDefault="00AB49CC" w:rsidP="00AB49CC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Одеського району Одеської області за 2023 р</w:t>
      </w:r>
      <w:r w:rsidR="00206A2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ік</w:t>
      </w:r>
    </w:p>
    <w:p w:rsidR="00AB49CC" w:rsidRPr="000B2639" w:rsidRDefault="00AB49CC" w:rsidP="00AB49CC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AB49CC" w:rsidRPr="000B2639" w:rsidRDefault="00AB49CC" w:rsidP="00AB49CC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0B2639">
        <w:rPr>
          <w:rFonts w:ascii="Times New Roman" w:hAnsi="Times New Roman"/>
          <w:sz w:val="28"/>
          <w:lang w:val="uk-UA"/>
        </w:rPr>
        <w:t xml:space="preserve">Відповідно до  пункту 8 Порядку розроблення, фінансування, моніторингу, реалізації цільових програм </w:t>
      </w:r>
      <w:proofErr w:type="spellStart"/>
      <w:r w:rsidRPr="000B2639">
        <w:rPr>
          <w:rFonts w:ascii="Times New Roman" w:hAnsi="Times New Roman"/>
          <w:sz w:val="28"/>
          <w:lang w:val="uk-UA"/>
        </w:rPr>
        <w:t>Фонтанської</w:t>
      </w:r>
      <w:proofErr w:type="spellEnd"/>
      <w:r w:rsidRPr="000B2639">
        <w:rPr>
          <w:rFonts w:ascii="Times New Roman" w:hAnsi="Times New Roman"/>
          <w:sz w:val="28"/>
          <w:lang w:val="uk-UA"/>
        </w:rPr>
        <w:t xml:space="preserve"> сільської ради Одеського району Одеської області та звітності про їх виконання, затвердженого рішенням сесії від 11.11.2022 року № 966 - VIII, з метою здійснення щоквартального моніторингу виконання Програми розвитку та фінансової підтримки комунального підприємства «Надія» </w:t>
      </w:r>
      <w:proofErr w:type="spellStart"/>
      <w:r w:rsidRPr="000B2639">
        <w:rPr>
          <w:rFonts w:ascii="Times New Roman" w:hAnsi="Times New Roman"/>
          <w:sz w:val="28"/>
          <w:lang w:val="uk-UA"/>
        </w:rPr>
        <w:t>Фонтанської</w:t>
      </w:r>
      <w:proofErr w:type="spellEnd"/>
      <w:r w:rsidRPr="000B2639">
        <w:rPr>
          <w:rFonts w:ascii="Times New Roman" w:hAnsi="Times New Roman"/>
          <w:sz w:val="28"/>
          <w:lang w:val="uk-UA"/>
        </w:rPr>
        <w:t xml:space="preserve"> сільської ради Одеського району Одеської області на 2023 - 2025 роки, затвердженої рішенням сесії </w:t>
      </w:r>
      <w:proofErr w:type="spellStart"/>
      <w:r w:rsidRPr="000B2639">
        <w:rPr>
          <w:rFonts w:ascii="Times New Roman" w:hAnsi="Times New Roman"/>
          <w:sz w:val="28"/>
          <w:lang w:val="uk-UA"/>
        </w:rPr>
        <w:t>Фонтанської</w:t>
      </w:r>
      <w:proofErr w:type="spellEnd"/>
      <w:r w:rsidRPr="000B2639">
        <w:rPr>
          <w:rFonts w:ascii="Times New Roman" w:hAnsi="Times New Roman"/>
          <w:sz w:val="28"/>
          <w:lang w:val="uk-UA"/>
        </w:rPr>
        <w:t xml:space="preserve"> сільської ради від 28.12.2022 року № 1074 – VIII з внесеними змінами рішеннями сесії </w:t>
      </w:r>
      <w:proofErr w:type="spellStart"/>
      <w:r w:rsidRPr="000B2639">
        <w:rPr>
          <w:rFonts w:ascii="Times New Roman" w:hAnsi="Times New Roman"/>
          <w:sz w:val="28"/>
          <w:lang w:val="uk-UA"/>
        </w:rPr>
        <w:t>Фонтанської</w:t>
      </w:r>
      <w:proofErr w:type="spellEnd"/>
      <w:r w:rsidRPr="000B2639">
        <w:rPr>
          <w:rFonts w:ascii="Times New Roman" w:hAnsi="Times New Roman"/>
          <w:sz w:val="28"/>
          <w:lang w:val="uk-UA"/>
        </w:rPr>
        <w:t xml:space="preserve"> сільської ради від 21.03.2023 року № 1168 - VIII та</w:t>
      </w:r>
      <w:r w:rsidRPr="00E73A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від 01</w:t>
      </w:r>
      <w:r w:rsidRPr="000B2639">
        <w:rPr>
          <w:rFonts w:ascii="Times New Roman" w:hAnsi="Times New Roman"/>
          <w:sz w:val="28"/>
          <w:lang w:val="uk-UA"/>
        </w:rPr>
        <w:t>.0</w:t>
      </w:r>
      <w:r>
        <w:rPr>
          <w:rFonts w:ascii="Times New Roman" w:hAnsi="Times New Roman"/>
          <w:sz w:val="28"/>
          <w:lang w:val="uk-UA"/>
        </w:rPr>
        <w:t>6</w:t>
      </w:r>
      <w:r w:rsidRPr="000B2639">
        <w:rPr>
          <w:rFonts w:ascii="Times New Roman" w:hAnsi="Times New Roman"/>
          <w:sz w:val="28"/>
          <w:lang w:val="uk-UA"/>
        </w:rPr>
        <w:t>.2023 року</w:t>
      </w:r>
      <w:r>
        <w:rPr>
          <w:rFonts w:ascii="Times New Roman" w:hAnsi="Times New Roman"/>
          <w:sz w:val="28"/>
          <w:lang w:val="uk-UA"/>
        </w:rPr>
        <w:t xml:space="preserve"> №1552-VIII,</w:t>
      </w:r>
      <w:r w:rsidRPr="000B2639">
        <w:rPr>
          <w:rFonts w:ascii="Times New Roman" w:hAnsi="Times New Roman"/>
          <w:sz w:val="28"/>
          <w:lang w:val="uk-UA"/>
        </w:rPr>
        <w:t xml:space="preserve"> керуючись статтею 26 Закону України «Про місцеве самоврядування в Україні», </w:t>
      </w:r>
      <w:proofErr w:type="spellStart"/>
      <w:r w:rsidRPr="000B2639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Pr="000B2639">
        <w:rPr>
          <w:rFonts w:ascii="Times New Roman" w:hAnsi="Times New Roman"/>
          <w:sz w:val="28"/>
          <w:lang w:val="uk-UA"/>
        </w:rPr>
        <w:t xml:space="preserve"> сільська рада Одеського району Одеської області, –</w:t>
      </w:r>
    </w:p>
    <w:p w:rsidR="00AB49CC" w:rsidRPr="000B2639" w:rsidRDefault="00AB49CC" w:rsidP="00AB49CC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</w:t>
      </w:r>
      <w:r w:rsidRPr="000B2639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635243" w:rsidRPr="00635243" w:rsidRDefault="00AB49CC" w:rsidP="00635243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1. Затвердити Звіт про виконання Програми </w:t>
      </w:r>
      <w:r w:rsidRPr="000B2639">
        <w:rPr>
          <w:rFonts w:ascii="Times New Roman" w:hAnsi="Times New Roman"/>
          <w:sz w:val="28"/>
          <w:lang w:val="uk-UA"/>
        </w:rPr>
        <w:t xml:space="preserve">розвитку та фінансової </w:t>
      </w:r>
      <w:r w:rsidRPr="00635243">
        <w:rPr>
          <w:rFonts w:ascii="Times New Roman" w:hAnsi="Times New Roman"/>
          <w:sz w:val="28"/>
          <w:lang w:val="uk-UA"/>
        </w:rPr>
        <w:t xml:space="preserve">підтримки комунального підприємства «Надія» </w:t>
      </w:r>
      <w:proofErr w:type="spellStart"/>
      <w:r w:rsidRPr="00635243">
        <w:rPr>
          <w:rFonts w:ascii="Times New Roman" w:hAnsi="Times New Roman"/>
          <w:sz w:val="28"/>
          <w:lang w:val="uk-UA"/>
        </w:rPr>
        <w:t>Фонтанської</w:t>
      </w:r>
      <w:proofErr w:type="spellEnd"/>
      <w:r w:rsidRPr="00635243">
        <w:rPr>
          <w:rFonts w:ascii="Times New Roman" w:hAnsi="Times New Roman"/>
          <w:sz w:val="28"/>
          <w:lang w:val="uk-UA"/>
        </w:rPr>
        <w:t xml:space="preserve"> сільської ради Одеського району Одеської області за 2023 р</w:t>
      </w:r>
      <w:r w:rsidR="00206A2F" w:rsidRPr="00635243">
        <w:rPr>
          <w:rFonts w:ascii="Times New Roman" w:hAnsi="Times New Roman"/>
          <w:sz w:val="28"/>
          <w:lang w:val="uk-UA"/>
        </w:rPr>
        <w:t>ік</w:t>
      </w:r>
      <w:r w:rsidRPr="00635243">
        <w:rPr>
          <w:rFonts w:ascii="Times New Roman" w:hAnsi="Times New Roman"/>
          <w:sz w:val="28"/>
          <w:lang w:val="uk-UA"/>
        </w:rPr>
        <w:t xml:space="preserve">, затвердженої рішенням сесії </w:t>
      </w:r>
      <w:proofErr w:type="spellStart"/>
      <w:r w:rsidRPr="00635243">
        <w:rPr>
          <w:rFonts w:ascii="Times New Roman" w:hAnsi="Times New Roman"/>
          <w:sz w:val="28"/>
          <w:lang w:val="uk-UA"/>
        </w:rPr>
        <w:t>Фонтанської</w:t>
      </w:r>
      <w:proofErr w:type="spellEnd"/>
      <w:r w:rsidRPr="00635243">
        <w:rPr>
          <w:rFonts w:ascii="Times New Roman" w:hAnsi="Times New Roman"/>
          <w:sz w:val="28"/>
          <w:lang w:val="uk-UA"/>
        </w:rPr>
        <w:t xml:space="preserve"> сільської ради від 28.12.2022 року № 1074 – VIII з внесеними змінами рішеннями сесії </w:t>
      </w:r>
      <w:proofErr w:type="spellStart"/>
      <w:r w:rsidRPr="00635243">
        <w:rPr>
          <w:rFonts w:ascii="Times New Roman" w:hAnsi="Times New Roman"/>
          <w:sz w:val="28"/>
          <w:lang w:val="uk-UA"/>
        </w:rPr>
        <w:t>Фонтанської</w:t>
      </w:r>
      <w:proofErr w:type="spellEnd"/>
      <w:r w:rsidRPr="00635243">
        <w:rPr>
          <w:rFonts w:ascii="Times New Roman" w:hAnsi="Times New Roman"/>
          <w:sz w:val="28"/>
          <w:lang w:val="uk-UA"/>
        </w:rPr>
        <w:t xml:space="preserve"> сільської ради від 21.03.2023 року № 1168 – VIII, від 01.06.2023 року № 1552 – VII, від 11.08.2023 року № 1580 – VIII</w:t>
      </w:r>
      <w:r w:rsidR="00635243" w:rsidRPr="00635243">
        <w:rPr>
          <w:rFonts w:ascii="Times New Roman" w:hAnsi="Times New Roman"/>
          <w:sz w:val="28"/>
          <w:lang w:val="uk-UA"/>
        </w:rPr>
        <w:t xml:space="preserve">, </w:t>
      </w:r>
      <w:r w:rsidRPr="00635243">
        <w:rPr>
          <w:rFonts w:ascii="Times New Roman" w:hAnsi="Times New Roman"/>
          <w:sz w:val="28"/>
          <w:lang w:val="uk-UA"/>
        </w:rPr>
        <w:t xml:space="preserve"> </w:t>
      </w:r>
      <w:r w:rsidR="00635243" w:rsidRPr="00635243">
        <w:rPr>
          <w:rFonts w:ascii="Times New Roman" w:hAnsi="Times New Roman"/>
          <w:sz w:val="28"/>
          <w:lang w:val="uk-UA"/>
        </w:rPr>
        <w:t>від 27.10.2023 року № 1686– VIII, від 28.11.2023 року № 1752 – VIII.</w:t>
      </w:r>
    </w:p>
    <w:p w:rsidR="00351D9E" w:rsidRDefault="00AB49CC" w:rsidP="00351D9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243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2. </w:t>
      </w:r>
      <w:r w:rsidRPr="00635243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 - економічного розвитку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, інвестицій </w:t>
      </w:r>
      <w:r>
        <w:rPr>
          <w:rFonts w:ascii="Times New Roman" w:hAnsi="Times New Roman"/>
          <w:sz w:val="28"/>
          <w:szCs w:val="28"/>
          <w:lang w:val="uk-UA"/>
        </w:rPr>
        <w:t>та міжнародного співробітництва.</w:t>
      </w:r>
    </w:p>
    <w:p w:rsidR="00351D9E" w:rsidRDefault="00351D9E" w:rsidP="00351D9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D9E" w:rsidRDefault="00351D9E" w:rsidP="00351D9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D9E" w:rsidRDefault="00351D9E" w:rsidP="00351D9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D9E" w:rsidRDefault="00351D9E" w:rsidP="00351D9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D9E" w:rsidRDefault="00351D9E" w:rsidP="00351D9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5F3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1E65F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E65F3">
        <w:rPr>
          <w:rFonts w:ascii="Times New Roman" w:hAnsi="Times New Roman"/>
          <w:b/>
          <w:sz w:val="28"/>
          <w:szCs w:val="28"/>
          <w:lang w:val="uk-UA"/>
        </w:rPr>
        <w:t>Наталія КРУПИЦЯ</w:t>
      </w:r>
    </w:p>
    <w:p w:rsidR="00351D9E" w:rsidRDefault="00351D9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B49CC" w:rsidRPr="000B2639" w:rsidRDefault="00AB49C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lastRenderedPageBreak/>
        <w:t xml:space="preserve">ВІЗИ: </w:t>
      </w:r>
    </w:p>
    <w:p w:rsidR="00AB49CC" w:rsidRPr="000B2639" w:rsidRDefault="00AB49CC" w:rsidP="00AB49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9CC" w:rsidRPr="000B2639" w:rsidRDefault="00AB49CC" w:rsidP="00AB49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AB49CC" w:rsidRPr="000B2639" w:rsidRDefault="00AB49CC" w:rsidP="00AB49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     Олександр ЩЕРБИЧ</w:t>
      </w:r>
    </w:p>
    <w:p w:rsidR="00AB49CC" w:rsidRPr="000B2639" w:rsidRDefault="00AB49C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49CC" w:rsidRPr="000B2639" w:rsidRDefault="00912C95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сільського голови    </w:t>
      </w:r>
      <w:r w:rsidR="00AB49CC" w:rsidRPr="000B2639">
        <w:rPr>
          <w:rFonts w:ascii="Times New Roman" w:hAnsi="Times New Roman"/>
          <w:sz w:val="28"/>
          <w:szCs w:val="28"/>
          <w:lang w:val="uk-UA"/>
        </w:rPr>
        <w:t xml:space="preserve">                                Володимир КРИВОШЕЄНКО</w:t>
      </w:r>
    </w:p>
    <w:p w:rsidR="00AB49CC" w:rsidRDefault="00AB49CC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B49CC" w:rsidRPr="00F263DB" w:rsidRDefault="00206A2F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AB49CC" w:rsidRPr="00F263DB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AB49CC" w:rsidRDefault="00AB49CC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263DB">
        <w:rPr>
          <w:rFonts w:ascii="Times New Roman" w:hAnsi="Times New Roman"/>
          <w:sz w:val="28"/>
          <w:szCs w:val="28"/>
          <w:lang w:val="uk-UA"/>
        </w:rPr>
        <w:t xml:space="preserve">управління фінансів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263D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06A2F">
        <w:rPr>
          <w:rFonts w:ascii="Times New Roman" w:hAnsi="Times New Roman"/>
          <w:sz w:val="28"/>
          <w:szCs w:val="28"/>
          <w:lang w:val="uk-UA"/>
        </w:rPr>
        <w:t>Алла ДІХТЯР</w:t>
      </w:r>
    </w:p>
    <w:p w:rsidR="00AB49CC" w:rsidRDefault="00AB49CC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A3856" w:rsidRDefault="00FA3856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A3856" w:rsidRDefault="00FA3856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A3856" w:rsidRDefault="00FA3856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A3856" w:rsidRDefault="00FA3856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A3856" w:rsidRDefault="00FA3856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AB49CC" w:rsidRPr="000B2639" w:rsidRDefault="00AB49C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A7BBE" w:rsidRDefault="001A7BBE" w:rsidP="001A7BBE">
      <w:pPr>
        <w:spacing w:line="280" w:lineRule="exact"/>
        <w:ind w:right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3856" w:rsidRPr="00F263DB" w:rsidRDefault="00FA3856" w:rsidP="00FA38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ЖКГ                                                        Ганна КАРАБАДЖАК</w:t>
      </w:r>
      <w:r w:rsidRPr="00F263DB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FA3856" w:rsidRPr="000B2639" w:rsidRDefault="00FA3856" w:rsidP="001A7BBE">
      <w:pPr>
        <w:spacing w:line="280" w:lineRule="exact"/>
        <w:ind w:right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sectPr w:rsidR="00FA3856" w:rsidRPr="000B2639" w:rsidSect="005F60F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E7AE5" w:rsidRPr="006B3A11" w:rsidRDefault="00CE7AE5" w:rsidP="00CE7AE5">
      <w:pPr>
        <w:spacing w:after="0" w:line="280" w:lineRule="exact"/>
        <w:ind w:left="10348" w:right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3A11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Додаток до рішення сесії </w:t>
      </w:r>
    </w:p>
    <w:p w:rsidR="00CE7AE5" w:rsidRPr="006B3A11" w:rsidRDefault="00CE7AE5" w:rsidP="00CE7AE5">
      <w:pPr>
        <w:spacing w:after="0" w:line="280" w:lineRule="exact"/>
        <w:ind w:left="10348" w:right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6B3A11">
        <w:rPr>
          <w:rFonts w:ascii="Times New Roman" w:hAnsi="Times New Roman"/>
          <w:bCs/>
          <w:sz w:val="28"/>
          <w:szCs w:val="28"/>
          <w:lang w:val="uk-UA"/>
        </w:rPr>
        <w:t>Фонтанської</w:t>
      </w:r>
      <w:proofErr w:type="spellEnd"/>
      <w:r w:rsidRPr="006B3A1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</w:p>
    <w:p w:rsidR="00CE7AE5" w:rsidRPr="006B3A11" w:rsidRDefault="00CE7AE5" w:rsidP="00CE7AE5">
      <w:pPr>
        <w:spacing w:after="0" w:line="280" w:lineRule="exact"/>
        <w:ind w:left="10348" w:right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3A11">
        <w:rPr>
          <w:rFonts w:ascii="Times New Roman" w:hAnsi="Times New Roman"/>
          <w:bCs/>
          <w:sz w:val="28"/>
          <w:szCs w:val="28"/>
          <w:lang w:val="uk-UA"/>
        </w:rPr>
        <w:t>№ ______ від __ _____ 202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6B3A11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CE7AE5" w:rsidRPr="006B3A11" w:rsidRDefault="00CE7AE5" w:rsidP="00CE7AE5">
      <w:pPr>
        <w:spacing w:line="280" w:lineRule="exact"/>
        <w:ind w:right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3A11">
        <w:rPr>
          <w:rFonts w:ascii="Times New Roman" w:hAnsi="Times New Roman"/>
          <w:b/>
          <w:bCs/>
          <w:sz w:val="28"/>
          <w:szCs w:val="28"/>
          <w:lang w:val="uk-UA"/>
        </w:rPr>
        <w:t>ЗВІТ</w:t>
      </w:r>
    </w:p>
    <w:p w:rsidR="00CE7AE5" w:rsidRPr="006B3A11" w:rsidRDefault="00CE7AE5" w:rsidP="00CE7AE5">
      <w:pPr>
        <w:spacing w:after="249" w:line="280" w:lineRule="exact"/>
        <w:ind w:right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3A11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виконання</w:t>
      </w:r>
    </w:p>
    <w:p w:rsidR="00FA3856" w:rsidRPr="006B3A11" w:rsidRDefault="00CE7AE5" w:rsidP="00FA3856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A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Програми розвитку та фінансової підтримки КП «Надія» </w:t>
      </w:r>
      <w:proofErr w:type="spellStart"/>
      <w:r w:rsidRPr="006B3A11">
        <w:rPr>
          <w:rFonts w:ascii="Times New Roman" w:eastAsia="Times New Roman" w:hAnsi="Times New Roman"/>
          <w:sz w:val="28"/>
          <w:szCs w:val="28"/>
          <w:lang w:val="uk-UA" w:eastAsia="ru-RU"/>
        </w:rPr>
        <w:t>Фонтанської</w:t>
      </w:r>
      <w:proofErr w:type="spellEnd"/>
      <w:r w:rsidRPr="006B3A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Одеського району Одеської області </w:t>
      </w:r>
      <w:r w:rsidR="00FA3856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 w:rsidRPr="006B3A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</w:t>
      </w:r>
      <w:r w:rsidR="00FA3856">
        <w:rPr>
          <w:rFonts w:ascii="Times New Roman" w:eastAsia="Times New Roman" w:hAnsi="Times New Roman"/>
          <w:sz w:val="28"/>
          <w:szCs w:val="28"/>
          <w:lang w:val="uk-UA" w:eastAsia="ru-RU"/>
        </w:rPr>
        <w:t>- 2025</w:t>
      </w:r>
      <w:r w:rsidRPr="006B3A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="00FA3856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FA3856">
        <w:rPr>
          <w:rFonts w:ascii="Times New Roman" w:eastAsia="Times New Roman" w:hAnsi="Times New Roman"/>
          <w:sz w:val="28"/>
          <w:szCs w:val="28"/>
          <w:lang w:val="uk-UA" w:eastAsia="ru-RU"/>
        </w:rPr>
        <w:t>и за 2023 рік</w:t>
      </w:r>
    </w:p>
    <w:p w:rsidR="00CE7AE5" w:rsidRPr="006B3A11" w:rsidRDefault="00FA3856" w:rsidP="00CE7AE5">
      <w:pPr>
        <w:ind w:left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E7AE5" w:rsidRPr="006B3A11">
        <w:rPr>
          <w:rFonts w:ascii="Times New Roman" w:hAnsi="Times New Roman"/>
          <w:b/>
          <w:sz w:val="28"/>
          <w:szCs w:val="28"/>
          <w:lang w:val="uk-UA"/>
        </w:rPr>
        <w:t xml:space="preserve">Дата і номер рішення </w:t>
      </w:r>
      <w:r w:rsidR="00CE7AE5" w:rsidRPr="006B3A11">
        <w:rPr>
          <w:rFonts w:ascii="Times New Roman" w:hAnsi="Times New Roman"/>
          <w:b/>
          <w:iCs/>
          <w:sz w:val="28"/>
          <w:szCs w:val="28"/>
          <w:lang w:val="uk-UA"/>
        </w:rPr>
        <w:t xml:space="preserve">сільської </w:t>
      </w:r>
      <w:r w:rsidR="00CE7AE5" w:rsidRPr="006B3A11">
        <w:rPr>
          <w:rFonts w:ascii="Times New Roman" w:hAnsi="Times New Roman"/>
          <w:b/>
          <w:sz w:val="28"/>
          <w:szCs w:val="28"/>
          <w:lang w:val="uk-UA"/>
        </w:rPr>
        <w:t>ради, яким затверджено Програму та зміни до неї:</w:t>
      </w:r>
      <w:r w:rsidR="00CE7AE5" w:rsidRPr="006B3A11">
        <w:rPr>
          <w:rFonts w:ascii="Times New Roman" w:hAnsi="Times New Roman"/>
          <w:sz w:val="28"/>
          <w:szCs w:val="28"/>
          <w:lang w:val="uk-UA"/>
        </w:rPr>
        <w:t xml:space="preserve"> рішення сесії </w:t>
      </w:r>
      <w:proofErr w:type="spellStart"/>
      <w:r w:rsidR="00CE7AE5" w:rsidRPr="006B3A11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="00CE7AE5" w:rsidRPr="006B3A11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CE7AE5" w:rsidRPr="006B3A11">
        <w:rPr>
          <w:rFonts w:ascii="Times New Roman" w:hAnsi="Times New Roman"/>
          <w:sz w:val="28"/>
          <w:lang w:val="uk-UA"/>
        </w:rPr>
        <w:t xml:space="preserve">від 28.12.2022 року № 1074 – VIII з внесеними змінами </w:t>
      </w:r>
      <w:r w:rsidR="00CE7AE5" w:rsidRPr="006B3A11">
        <w:rPr>
          <w:rFonts w:ascii="Times New Roman" w:hAnsi="Times New Roman"/>
          <w:sz w:val="28"/>
          <w:szCs w:val="28"/>
          <w:lang w:val="uk-UA"/>
        </w:rPr>
        <w:t xml:space="preserve">рішеннями сесії </w:t>
      </w:r>
      <w:proofErr w:type="spellStart"/>
      <w:r w:rsidR="00CE7AE5" w:rsidRPr="006B3A11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="00CE7AE5" w:rsidRPr="006B3A11">
        <w:rPr>
          <w:rFonts w:ascii="Times New Roman" w:hAnsi="Times New Roman"/>
          <w:sz w:val="28"/>
          <w:szCs w:val="28"/>
          <w:lang w:val="uk-UA"/>
        </w:rPr>
        <w:t xml:space="preserve"> сільської ради від 21.03.2023 року № 1168-VIII, від 01.06.2023 року№1552- VIII</w:t>
      </w:r>
      <w:r w:rsidR="00CE7A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7AE5" w:rsidRPr="006B3A11">
        <w:rPr>
          <w:rFonts w:ascii="Times New Roman" w:hAnsi="Times New Roman"/>
          <w:sz w:val="28"/>
          <w:szCs w:val="28"/>
          <w:lang w:val="uk-UA"/>
        </w:rPr>
        <w:t xml:space="preserve">від 11.08.2023 року № 1580 </w:t>
      </w:r>
      <w:r w:rsidR="00CE7AE5">
        <w:rPr>
          <w:rFonts w:ascii="Times New Roman" w:hAnsi="Times New Roman"/>
          <w:sz w:val="28"/>
          <w:szCs w:val="28"/>
          <w:lang w:val="uk-UA"/>
        </w:rPr>
        <w:t>–</w:t>
      </w:r>
      <w:r w:rsidR="00CE7AE5" w:rsidRPr="006B3A11">
        <w:rPr>
          <w:rFonts w:ascii="Times New Roman" w:hAnsi="Times New Roman"/>
          <w:sz w:val="28"/>
          <w:szCs w:val="28"/>
          <w:lang w:val="uk-UA"/>
        </w:rPr>
        <w:t xml:space="preserve"> VIII</w:t>
      </w:r>
      <w:r w:rsidR="00CE7AE5">
        <w:rPr>
          <w:rFonts w:ascii="Times New Roman" w:hAnsi="Times New Roman"/>
          <w:sz w:val="28"/>
          <w:szCs w:val="28"/>
          <w:lang w:val="uk-UA"/>
        </w:rPr>
        <w:t>, від 27.10.2023 року №</w:t>
      </w:r>
      <w:r w:rsidR="00CE7AE5" w:rsidRPr="006B3A11">
        <w:rPr>
          <w:rFonts w:ascii="Times New Roman" w:hAnsi="Times New Roman"/>
          <w:sz w:val="28"/>
          <w:szCs w:val="28"/>
          <w:lang w:val="uk-UA"/>
        </w:rPr>
        <w:t>1</w:t>
      </w:r>
      <w:r w:rsidR="00CE7AE5">
        <w:rPr>
          <w:rFonts w:ascii="Times New Roman" w:hAnsi="Times New Roman"/>
          <w:sz w:val="28"/>
          <w:szCs w:val="28"/>
          <w:lang w:val="uk-UA"/>
        </w:rPr>
        <w:t>686</w:t>
      </w:r>
      <w:r w:rsidR="00CE7AE5" w:rsidRPr="006B3A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AE5">
        <w:rPr>
          <w:rFonts w:ascii="Times New Roman" w:hAnsi="Times New Roman"/>
          <w:sz w:val="28"/>
          <w:szCs w:val="28"/>
          <w:lang w:val="uk-UA"/>
        </w:rPr>
        <w:t>–</w:t>
      </w:r>
      <w:r w:rsidR="00CE7AE5" w:rsidRPr="006B3A11">
        <w:rPr>
          <w:rFonts w:ascii="Times New Roman" w:hAnsi="Times New Roman"/>
          <w:sz w:val="28"/>
          <w:szCs w:val="28"/>
          <w:lang w:val="uk-UA"/>
        </w:rPr>
        <w:t xml:space="preserve"> VIII</w:t>
      </w:r>
      <w:r w:rsidR="00CE7AE5">
        <w:rPr>
          <w:rFonts w:ascii="Times New Roman" w:hAnsi="Times New Roman"/>
          <w:sz w:val="28"/>
          <w:szCs w:val="28"/>
          <w:lang w:val="uk-UA"/>
        </w:rPr>
        <w:t xml:space="preserve"> та від 28.11.2023 року №</w:t>
      </w:r>
      <w:r w:rsidR="00CE7AE5" w:rsidRPr="006B3A11">
        <w:rPr>
          <w:rFonts w:ascii="Times New Roman" w:hAnsi="Times New Roman"/>
          <w:sz w:val="28"/>
          <w:szCs w:val="28"/>
          <w:lang w:val="uk-UA"/>
        </w:rPr>
        <w:t>1</w:t>
      </w:r>
      <w:r w:rsidR="00CE7AE5">
        <w:rPr>
          <w:rFonts w:ascii="Times New Roman" w:hAnsi="Times New Roman"/>
          <w:sz w:val="28"/>
          <w:szCs w:val="28"/>
          <w:lang w:val="uk-UA"/>
        </w:rPr>
        <w:t>752</w:t>
      </w:r>
      <w:r w:rsidR="00CE7AE5" w:rsidRPr="006B3A11">
        <w:rPr>
          <w:rFonts w:ascii="Times New Roman" w:hAnsi="Times New Roman"/>
          <w:sz w:val="28"/>
          <w:szCs w:val="28"/>
          <w:lang w:val="uk-UA"/>
        </w:rPr>
        <w:t xml:space="preserve"> - VIII</w:t>
      </w:r>
    </w:p>
    <w:p w:rsidR="00CE7AE5" w:rsidRPr="006B3A11" w:rsidRDefault="00CE7AE5" w:rsidP="00CE7AE5">
      <w:pPr>
        <w:ind w:left="709"/>
        <w:jc w:val="center"/>
        <w:rPr>
          <w:rFonts w:ascii="Times New Roman" w:hAnsi="Times New Roman"/>
          <w:sz w:val="28"/>
          <w:lang w:val="uk-UA"/>
        </w:rPr>
      </w:pPr>
    </w:p>
    <w:p w:rsidR="00CE7AE5" w:rsidRPr="006B3A11" w:rsidRDefault="00CE7AE5" w:rsidP="00CE7AE5">
      <w:pPr>
        <w:tabs>
          <w:tab w:val="left" w:leader="underscore" w:pos="6914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3A11">
        <w:rPr>
          <w:rFonts w:ascii="Times New Roman" w:hAnsi="Times New Roman"/>
          <w:b/>
          <w:sz w:val="28"/>
          <w:szCs w:val="28"/>
          <w:lang w:val="uk-UA"/>
        </w:rPr>
        <w:t>Відповідальний виконавець Програми:</w:t>
      </w:r>
      <w:r w:rsidRPr="006B3A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6A2F">
        <w:rPr>
          <w:rFonts w:ascii="Times New Roman" w:hAnsi="Times New Roman"/>
          <w:sz w:val="28"/>
          <w:szCs w:val="28"/>
          <w:lang w:val="uk-UA"/>
        </w:rPr>
        <w:t>Відділ</w:t>
      </w:r>
      <w:r w:rsidRPr="006B3A11">
        <w:rPr>
          <w:rFonts w:ascii="Times New Roman" w:hAnsi="Times New Roman"/>
          <w:sz w:val="28"/>
          <w:szCs w:val="28"/>
          <w:lang w:val="uk-UA"/>
        </w:rPr>
        <w:t xml:space="preserve"> ЖКГ </w:t>
      </w:r>
      <w:proofErr w:type="spellStart"/>
      <w:r w:rsidRPr="006B3A11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6B3A11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CE7AE5" w:rsidRPr="006B3A11" w:rsidRDefault="00CE7AE5" w:rsidP="00CE7AE5">
      <w:pPr>
        <w:framePr w:w="9691" w:wrap="notBeside" w:vAnchor="text" w:hAnchor="page" w:x="4111" w:y="425"/>
        <w:spacing w:line="280" w:lineRule="exact"/>
        <w:ind w:left="709"/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</w:pPr>
      <w:r w:rsidRPr="006B3A11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1. Виконання заходів Програми</w:t>
      </w:r>
    </w:p>
    <w:p w:rsidR="00CE7AE5" w:rsidRPr="006B3A11" w:rsidRDefault="00CE7AE5" w:rsidP="00CE7AE5">
      <w:pPr>
        <w:tabs>
          <w:tab w:val="left" w:leader="underscore" w:pos="6914"/>
        </w:tabs>
        <w:spacing w:after="296" w:line="322" w:lineRule="exact"/>
        <w:ind w:left="709"/>
        <w:rPr>
          <w:rFonts w:ascii="Times New Roman" w:hAnsi="Times New Roman"/>
          <w:sz w:val="28"/>
          <w:szCs w:val="28"/>
          <w:lang w:val="uk-UA"/>
        </w:rPr>
      </w:pPr>
      <w:r w:rsidRPr="006B3A11">
        <w:rPr>
          <w:rFonts w:ascii="Times New Roman" w:hAnsi="Times New Roman"/>
          <w:b/>
          <w:sz w:val="28"/>
          <w:szCs w:val="28"/>
          <w:lang w:val="uk-UA"/>
        </w:rPr>
        <w:t>Термін реалізації Програми</w:t>
      </w:r>
      <w:r w:rsidRPr="006B3A11">
        <w:rPr>
          <w:rFonts w:ascii="Times New Roman" w:hAnsi="Times New Roman"/>
          <w:sz w:val="28"/>
          <w:szCs w:val="28"/>
          <w:lang w:val="uk-UA"/>
        </w:rPr>
        <w:t>: 2023 – 2025 роки</w:t>
      </w:r>
    </w:p>
    <w:tbl>
      <w:tblPr>
        <w:tblpPr w:leftFromText="180" w:rightFromText="180" w:vertAnchor="text" w:horzAnchor="page" w:tblpX="1426" w:tblpY="186"/>
        <w:tblOverlap w:val="never"/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3260"/>
        <w:gridCol w:w="709"/>
        <w:gridCol w:w="1275"/>
        <w:gridCol w:w="851"/>
        <w:gridCol w:w="992"/>
        <w:gridCol w:w="992"/>
        <w:gridCol w:w="3828"/>
      </w:tblGrid>
      <w:tr w:rsidR="00CE7AE5" w:rsidRPr="006B3A11" w:rsidTr="000E0160">
        <w:trPr>
          <w:trHeight w:hRule="exact" w:val="14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AE5" w:rsidRPr="006B3A11" w:rsidRDefault="00CE7AE5" w:rsidP="000E0160">
            <w:pPr>
              <w:spacing w:after="0" w:line="190" w:lineRule="exact"/>
              <w:ind w:left="160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№</w:t>
            </w:r>
          </w:p>
          <w:p w:rsidR="00CE7AE5" w:rsidRPr="006B3A11" w:rsidRDefault="00CE7AE5" w:rsidP="000E0160">
            <w:pPr>
              <w:spacing w:before="60" w:after="0" w:line="190" w:lineRule="exact"/>
              <w:ind w:left="160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AE5" w:rsidRPr="006B3A11" w:rsidRDefault="00CE7AE5" w:rsidP="000E0160">
            <w:pPr>
              <w:spacing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Пріоритетні</w:t>
            </w:r>
          </w:p>
          <w:p w:rsidR="00CE7AE5" w:rsidRPr="006B3A11" w:rsidRDefault="00CE7AE5" w:rsidP="000E0160">
            <w:pPr>
              <w:spacing w:before="60" w:after="0" w:line="190" w:lineRule="exact"/>
              <w:ind w:left="1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завданий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B3A11" w:rsidRDefault="00CE7AE5" w:rsidP="000E0160">
            <w:pPr>
              <w:spacing w:before="60"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hAnsi="Times New Roman"/>
                <w:b/>
                <w:lang w:val="uk-UA"/>
              </w:rPr>
              <w:t>Зміст заходів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B3A11" w:rsidRDefault="00CE7AE5" w:rsidP="000E0160">
            <w:pPr>
              <w:spacing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Термін</w:t>
            </w:r>
          </w:p>
          <w:p w:rsidR="00CE7AE5" w:rsidRPr="006B3A11" w:rsidRDefault="00CE7AE5" w:rsidP="000E0160">
            <w:pPr>
              <w:spacing w:before="60"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виконання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B3A11" w:rsidRDefault="00CE7AE5" w:rsidP="000E0160">
            <w:pPr>
              <w:spacing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Виконавці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B3A11" w:rsidRDefault="00CE7AE5" w:rsidP="000E0160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Річний обсяг</w:t>
            </w: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br/>
              <w:t>фінансування,</w:t>
            </w: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br/>
              <w:t>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B3A11" w:rsidRDefault="00CE7AE5" w:rsidP="000E0160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Фактично</w:t>
            </w: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br/>
              <w:t>профінансовано</w:t>
            </w: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br/>
              <w:t>у звітному</w:t>
            </w: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br/>
              <w:t>періоді,</w:t>
            </w: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br/>
              <w:t>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B3A11" w:rsidRDefault="00CE7AE5" w:rsidP="000E0160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Відсоток</w:t>
            </w: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br/>
              <w:t>виконання</w:t>
            </w: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br/>
              <w:t>заходу, 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AE5" w:rsidRPr="006B3A11" w:rsidRDefault="00CE7AE5" w:rsidP="000E0160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Інформація</w:t>
            </w:r>
          </w:p>
          <w:p w:rsidR="00CE7AE5" w:rsidRPr="006B3A11" w:rsidRDefault="00CE7AE5" w:rsidP="000E0160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про</w:t>
            </w:r>
          </w:p>
          <w:p w:rsidR="00CE7AE5" w:rsidRPr="006B3A11" w:rsidRDefault="00CE7AE5" w:rsidP="000E0160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виконання</w:t>
            </w: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br/>
              <w:t>або причини</w:t>
            </w: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br/>
              <w:t>невиконання</w:t>
            </w:r>
          </w:p>
          <w:p w:rsidR="00CE7AE5" w:rsidRPr="006B3A11" w:rsidRDefault="00CE7AE5" w:rsidP="000E0160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A11">
              <w:rPr>
                <w:rFonts w:ascii="Times New Roman" w:eastAsia="Microsoft Sans Serif" w:hAnsi="Times New Roman"/>
                <w:b/>
                <w:bCs/>
                <w:lang w:val="uk-UA" w:eastAsia="uk-UA" w:bidi="uk-UA"/>
              </w:rPr>
              <w:t>заходу</w:t>
            </w:r>
          </w:p>
        </w:tc>
      </w:tr>
      <w:tr w:rsidR="00CE7AE5" w:rsidRPr="006B3A11" w:rsidTr="000E0160">
        <w:trPr>
          <w:trHeight w:hRule="exact" w:val="5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 w:eastAsia="ru-RU"/>
              </w:rPr>
              <w:t>Обсяг видатків на фінансування комунальних підприємств, що ведуть діяльність у сфері благоустрою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Обсяг видатків на забезпечення заходів з благоустрою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13645,3</w:t>
            </w:r>
          </w:p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13645,3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Захід направлений на оплату праці з нарахуваннями</w:t>
            </w:r>
          </w:p>
        </w:tc>
      </w:tr>
      <w:tr w:rsidR="00CE7AE5" w:rsidRPr="006B3A11" w:rsidTr="000E0160">
        <w:trPr>
          <w:trHeight w:hRule="exact" w:val="860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eastAsia="Times New Roman" w:hAnsi="Times New Roman"/>
                <w:color w:val="000000"/>
              </w:rPr>
            </w:pPr>
            <w:r w:rsidRPr="006B3A11">
              <w:rPr>
                <w:rFonts w:ascii="Times New Roman" w:hAnsi="Times New Roman"/>
                <w:color w:val="000000"/>
                <w:lang w:val="uk-UA"/>
              </w:rPr>
              <w:t>Обсяг видатків на п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ридбання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гербіцидів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проти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росту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отруйних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трав'янистих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рослин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амброзія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>»</w:t>
            </w:r>
          </w:p>
          <w:p w:rsidR="00CE7AE5" w:rsidRPr="006B3A11" w:rsidRDefault="00CE7AE5" w:rsidP="000E01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99,84%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Закуплено 154 л гербіцидів проти росту трав’янистих рослин. </w:t>
            </w:r>
          </w:p>
        </w:tc>
      </w:tr>
      <w:tr w:rsidR="00CE7AE5" w:rsidRPr="006B3A11" w:rsidTr="000E0160">
        <w:trPr>
          <w:trHeight w:hRule="exact" w:val="56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color w:val="000000"/>
              </w:rPr>
            </w:pPr>
            <w:r w:rsidRPr="006B3A11">
              <w:rPr>
                <w:rFonts w:ascii="Times New Roman" w:hAnsi="Times New Roman"/>
                <w:color w:val="000000"/>
                <w:lang w:val="uk-UA"/>
              </w:rPr>
              <w:t>Обсяг видатків на п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ридбання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солі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піску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посипання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доріг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99,2%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Придбано 165 т. піску та 3400 кг солі.</w:t>
            </w:r>
          </w:p>
        </w:tc>
      </w:tr>
      <w:tr w:rsidR="00CE7AE5" w:rsidRPr="006B3A11" w:rsidTr="000E0160">
        <w:trPr>
          <w:trHeight w:hRule="exact" w:val="128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Обсяг видатків на надання послуг з благоустрою (прокат підіймального крану із оператором)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99,6%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Надані послуги з благоустрою </w:t>
            </w:r>
            <w:r w:rsidRPr="006B3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(прокат підіймального крану із оператором) в </w:t>
            </w:r>
            <w:proofErr w:type="spellStart"/>
            <w:r w:rsidRPr="006B3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с.Ліски</w:t>
            </w:r>
            <w:proofErr w:type="spellEnd"/>
            <w:r w:rsidRPr="006B3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 встановленню огорожі.</w:t>
            </w:r>
          </w:p>
        </w:tc>
      </w:tr>
      <w:tr w:rsidR="00CE7AE5" w:rsidRPr="006B3A11" w:rsidTr="000E0160">
        <w:trPr>
          <w:trHeight w:hRule="exact" w:val="1257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Обсяг видатків на придбання, господарських товарів, інструментів,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політеленової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продукції та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перчаток</w:t>
            </w:r>
            <w:proofErr w:type="spellEnd"/>
          </w:p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</w:p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</w:p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</w:p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</w:p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</w:p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409,92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409,58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99,9%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Придбано господарських товарів на 79,9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інструментів на 229,9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перчаток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на 49,8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сміттєвих пакетів – 49,9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</w:t>
            </w:r>
            <w:proofErr w:type="spellEnd"/>
          </w:p>
        </w:tc>
      </w:tr>
      <w:tr w:rsidR="00CE7AE5" w:rsidRPr="00351D9E" w:rsidTr="000E0160">
        <w:trPr>
          <w:trHeight w:hRule="exact" w:val="168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Обсяг видатків на придбання запасних частин та матеріалів для автомобільного транспорту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A6762" w:rsidP="000E016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  <w:r w:rsidR="00CE7AE5" w:rsidRPr="006B3A11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A6762" w:rsidP="000E016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99,8</w:t>
            </w:r>
            <w:r w:rsidR="00CE7AE5" w:rsidRPr="006B3A11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Придбано запасних частин (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Акамулятори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сцеплення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шарніри, ремкомплекти,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салінблоки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фільтри та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інш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) – 166,5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. та шини для автотранспорту -142,7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та ківш для екскаватора-20,0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</w:tr>
      <w:tr w:rsidR="00D32C0A" w:rsidRPr="00351D9E" w:rsidTr="00D32C0A">
        <w:trPr>
          <w:trHeight w:hRule="exact" w:val="315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Обсяг видатків на обслуговування мереж вуличного освітлення, що передані в обслуговування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rPr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99,5%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0A" w:rsidRPr="00CF7929" w:rsidRDefault="00D32C0A" w:rsidP="00D32C0A">
            <w:pPr>
              <w:rPr>
                <w:rFonts w:ascii="Times New Roman" w:hAnsi="Times New Roman"/>
                <w:lang w:val="uk-UA"/>
              </w:rPr>
            </w:pPr>
            <w:r w:rsidRPr="00CF7929">
              <w:rPr>
                <w:rFonts w:ascii="Times New Roman" w:hAnsi="Times New Roman"/>
                <w:lang w:val="uk-UA"/>
              </w:rPr>
              <w:t xml:space="preserve">Проведено технічне обслуговування мереж вуличного освітлення., яке знаходиться в обслуговуванні комунального підприємства, а саме: демонтаж 126 світильників, монтаж 130 світильників, прокладання 325 м. </w:t>
            </w:r>
            <w:proofErr w:type="spellStart"/>
            <w:r w:rsidRPr="00CF7929">
              <w:rPr>
                <w:rFonts w:ascii="Times New Roman" w:hAnsi="Times New Roman"/>
                <w:lang w:val="uk-UA"/>
              </w:rPr>
              <w:t>кабелю,підключення</w:t>
            </w:r>
            <w:proofErr w:type="spellEnd"/>
            <w:r w:rsidRPr="00CF7929">
              <w:rPr>
                <w:rFonts w:ascii="Times New Roman" w:hAnsi="Times New Roman"/>
                <w:lang w:val="uk-UA"/>
              </w:rPr>
              <w:t xml:space="preserve"> магістралі до мережі освітлення – 2 </w:t>
            </w:r>
            <w:proofErr w:type="spellStart"/>
            <w:r w:rsidRPr="00CF7929">
              <w:rPr>
                <w:rFonts w:ascii="Times New Roman" w:hAnsi="Times New Roman"/>
                <w:lang w:val="uk-UA"/>
              </w:rPr>
              <w:t>посл</w:t>
            </w:r>
            <w:proofErr w:type="spellEnd"/>
            <w:r w:rsidRPr="00CF7929">
              <w:rPr>
                <w:rFonts w:ascii="Times New Roman" w:hAnsi="Times New Roman"/>
                <w:lang w:val="uk-UA"/>
              </w:rPr>
              <w:t xml:space="preserve">, демонтаж проводів СІП-90м, монтаж проводів СІП- 260 м, демонтаж та монтаж електросвітильників-5 шт. та </w:t>
            </w:r>
            <w:proofErr w:type="spellStart"/>
            <w:r w:rsidRPr="00CF7929">
              <w:rPr>
                <w:rFonts w:ascii="Times New Roman" w:hAnsi="Times New Roman"/>
                <w:lang w:val="uk-UA"/>
              </w:rPr>
              <w:t>інш</w:t>
            </w:r>
            <w:proofErr w:type="spellEnd"/>
            <w:r w:rsidRPr="00CF7929">
              <w:rPr>
                <w:rFonts w:ascii="Times New Roman" w:hAnsi="Times New Roman"/>
                <w:lang w:val="uk-UA"/>
              </w:rPr>
              <w:t>.</w:t>
            </w:r>
          </w:p>
          <w:p w:rsidR="00D32C0A" w:rsidRPr="006272B3" w:rsidRDefault="00D32C0A" w:rsidP="00D32C0A">
            <w:pPr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D32C0A" w:rsidRPr="00351D9E" w:rsidTr="000E0160">
        <w:trPr>
          <w:trHeight w:hRule="exact" w:val="174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Обсяг видатків для забезпечення розчистки шляхопроводів від снігу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0A" w:rsidRPr="006B3A11" w:rsidRDefault="00D32C0A" w:rsidP="00D32C0A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5,5%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0A" w:rsidRPr="006272B3" w:rsidRDefault="00D32C0A" w:rsidP="00D32C0A">
            <w:pPr>
              <w:rPr>
                <w:rFonts w:ascii="Times New Roman" w:hAnsi="Times New Roman"/>
                <w:highlight w:val="yellow"/>
                <w:lang w:val="uk-UA"/>
              </w:rPr>
            </w:pPr>
            <w:r w:rsidRPr="006272B3">
              <w:rPr>
                <w:rFonts w:ascii="Times New Roman" w:hAnsi="Times New Roman"/>
                <w:lang w:val="uk-UA"/>
              </w:rPr>
              <w:t xml:space="preserve">У зв’язку зі сприятливими погодними умовами дані послуги надані на суму 22 </w:t>
            </w:r>
            <w:proofErr w:type="spellStart"/>
            <w:r w:rsidRPr="006272B3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6272B3">
              <w:rPr>
                <w:rFonts w:ascii="Times New Roman" w:hAnsi="Times New Roman"/>
                <w:lang w:val="uk-UA"/>
              </w:rPr>
              <w:t>, було залучено дві одиниці техніки, які відпрацювали 8 годин та розчи</w:t>
            </w:r>
            <w:r>
              <w:rPr>
                <w:rFonts w:ascii="Times New Roman" w:hAnsi="Times New Roman"/>
                <w:lang w:val="uk-UA"/>
              </w:rPr>
              <w:t xml:space="preserve">щено </w:t>
            </w:r>
            <w:r w:rsidRPr="006272B3">
              <w:rPr>
                <w:rFonts w:ascii="Times New Roman" w:hAnsi="Times New Roman"/>
                <w:lang w:val="uk-UA"/>
              </w:rPr>
              <w:t>11 км шляхопроводів.</w:t>
            </w:r>
          </w:p>
        </w:tc>
      </w:tr>
      <w:tr w:rsidR="00CE7AE5" w:rsidRPr="00351D9E" w:rsidTr="000E0160">
        <w:trPr>
          <w:trHeight w:hRule="exact" w:val="171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Обсяг видатків на придбання спецодягу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99,7%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Придбано спецодяг для працівників комунального підприємства, а саме: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напівкомбінезони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- 27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куртки-42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жилет сигнальний -15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плащ –дощовик -5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костюм – 1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логотип – 1 шт. </w:t>
            </w:r>
          </w:p>
        </w:tc>
      </w:tr>
      <w:tr w:rsidR="00CE7AE5" w:rsidRPr="006B3A11" w:rsidTr="000E0160">
        <w:trPr>
          <w:trHeight w:hRule="exact" w:val="86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Обсяг видатків на придбання пально-мастильних матеріалів.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1096,3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1096,3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По результатам тендерної процедури було придбано 17563 л –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Дп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та 4000 л – бензину.</w:t>
            </w:r>
          </w:p>
        </w:tc>
      </w:tr>
      <w:tr w:rsidR="00CE7AE5" w:rsidRPr="006B3A11" w:rsidTr="000E0160">
        <w:trPr>
          <w:trHeight w:hRule="exact" w:val="72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B3A11">
              <w:rPr>
                <w:rFonts w:ascii="Times New Roman" w:hAnsi="Times New Roman"/>
                <w:color w:val="000000"/>
              </w:rPr>
              <w:t>Придбання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паливної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деревини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(дрова)</w:t>
            </w:r>
          </w:p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 w:rsidRPr="006B3A11">
              <w:rPr>
                <w:rFonts w:ascii="Times New Roman" w:hAnsi="Times New Roman"/>
                <w:color w:val="000000"/>
              </w:rPr>
              <w:t>Придбанн</w:t>
            </w:r>
            <w:proofErr w:type="spellEnd"/>
            <w:r w:rsidRPr="006B3A11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паливн</w:t>
            </w:r>
            <w:r w:rsidRPr="006B3A11">
              <w:rPr>
                <w:rFonts w:ascii="Times New Roman" w:hAnsi="Times New Roman"/>
                <w:color w:val="000000"/>
                <w:lang w:val="uk-UA"/>
              </w:rPr>
              <w:t>ої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деревин</w:t>
            </w:r>
            <w:r w:rsidRPr="006B3A11">
              <w:rPr>
                <w:rFonts w:ascii="Times New Roman" w:hAnsi="Times New Roman"/>
                <w:color w:val="000000"/>
                <w:lang w:val="uk-UA"/>
              </w:rPr>
              <w:t>и</w:t>
            </w:r>
            <w:r w:rsidRPr="006B3A11">
              <w:rPr>
                <w:rFonts w:ascii="Times New Roman" w:hAnsi="Times New Roman"/>
                <w:color w:val="000000"/>
              </w:rPr>
              <w:t xml:space="preserve"> (дрова)</w:t>
            </w:r>
            <w:r w:rsidRPr="006B3A11">
              <w:rPr>
                <w:rFonts w:ascii="Times New Roman" w:hAnsi="Times New Roman"/>
                <w:color w:val="000000"/>
                <w:lang w:val="uk-UA"/>
              </w:rPr>
              <w:t xml:space="preserve"> – 17 </w:t>
            </w:r>
            <w:proofErr w:type="spellStart"/>
            <w:r w:rsidRPr="006B3A11">
              <w:rPr>
                <w:rFonts w:ascii="Times New Roman" w:hAnsi="Times New Roman"/>
                <w:color w:val="000000"/>
                <w:lang w:val="uk-UA"/>
              </w:rPr>
              <w:t>м.куб</w:t>
            </w:r>
            <w:proofErr w:type="spellEnd"/>
            <w:r w:rsidRPr="006B3A11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E7AE5" w:rsidRPr="006B3A11" w:rsidTr="000E0160">
        <w:trPr>
          <w:trHeight w:hRule="exact" w:val="141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B3A11">
              <w:rPr>
                <w:rFonts w:ascii="Times New Roman" w:hAnsi="Times New Roman"/>
                <w:color w:val="000000"/>
              </w:rPr>
              <w:t>Придбання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6B3A11">
              <w:rPr>
                <w:rFonts w:ascii="Times New Roman" w:hAnsi="Times New Roman"/>
                <w:color w:val="000000"/>
              </w:rPr>
              <w:t>матеріалів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(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металоконструкцій</w:t>
            </w:r>
            <w:proofErr w:type="spellEnd"/>
            <w:proofErr w:type="gramEnd"/>
            <w:r w:rsidRPr="006B3A1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фарби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, грунтовки та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інш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) для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виготовлення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дошки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пошани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загиблим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героям</w:t>
            </w:r>
          </w:p>
          <w:p w:rsidR="00CE7AE5" w:rsidRPr="006B3A11" w:rsidRDefault="00CE7AE5" w:rsidP="000E016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99,4%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B3A11">
              <w:rPr>
                <w:rFonts w:ascii="Times New Roman" w:hAnsi="Times New Roman"/>
                <w:color w:val="000000"/>
              </w:rPr>
              <w:t>Придбанн</w:t>
            </w:r>
            <w:proofErr w:type="spellEnd"/>
            <w:r w:rsidRPr="006B3A11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6B3A11">
              <w:rPr>
                <w:rFonts w:ascii="Times New Roman" w:hAnsi="Times New Roman"/>
                <w:color w:val="000000"/>
              </w:rPr>
              <w:t>матеріали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(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металоконструкцій</w:t>
            </w:r>
            <w:proofErr w:type="spellEnd"/>
            <w:proofErr w:type="gramEnd"/>
            <w:r w:rsidRPr="006B3A1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фарби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, грунтовки та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інш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) для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виготовлення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дошки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пошани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загиблим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героям</w:t>
            </w:r>
          </w:p>
          <w:p w:rsidR="00CE7AE5" w:rsidRPr="006B3A11" w:rsidRDefault="00CE7AE5" w:rsidP="000E0160">
            <w:pPr>
              <w:rPr>
                <w:rFonts w:ascii="Times New Roman" w:hAnsi="Times New Roman"/>
              </w:rPr>
            </w:pPr>
          </w:p>
        </w:tc>
      </w:tr>
      <w:tr w:rsidR="00CE7AE5" w:rsidRPr="00CE7AE5" w:rsidTr="00D32C0A">
        <w:trPr>
          <w:trHeight w:hRule="exact" w:val="2840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B3A11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стерилізації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вакцинації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вилову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перевезення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безпритульних</w:t>
            </w:r>
            <w:proofErr w:type="spellEnd"/>
            <w:r w:rsidRPr="006B3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color w:val="000000"/>
              </w:rPr>
              <w:t>тварин</w:t>
            </w:r>
            <w:proofErr w:type="spellEnd"/>
          </w:p>
          <w:p w:rsidR="00CE7AE5" w:rsidRPr="006B3A11" w:rsidRDefault="00CE7AE5" w:rsidP="000E016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0A" w:rsidRPr="00CF7929" w:rsidRDefault="00D32C0A" w:rsidP="00D32C0A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Кошти були  виділені згідно рішення сесії 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Фонтанської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сільської ради від 27.10.2023 року №</w:t>
            </w:r>
            <w:r w:rsidRPr="006B3A11">
              <w:rPr>
                <w:rFonts w:ascii="Times New Roman" w:hAnsi="Times New Roman"/>
                <w:color w:val="000000" w:themeColor="text1"/>
                <w:lang w:val="uk-UA"/>
              </w:rPr>
              <w:t>1724-</w:t>
            </w:r>
            <w:r w:rsidRPr="006B3A1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VIII</w:t>
            </w:r>
            <w:r w:rsidRPr="006B3A11">
              <w:rPr>
                <w:rFonts w:ascii="Times New Roman" w:hAnsi="Times New Roman"/>
                <w:lang w:val="uk-UA"/>
              </w:rPr>
              <w:t xml:space="preserve">, зміни до бюджету відображені та надані до ДКС України 06.11.2023року. </w:t>
            </w:r>
            <w:r>
              <w:rPr>
                <w:rFonts w:ascii="Times New Roman" w:hAnsi="Times New Roman"/>
                <w:lang w:val="uk-UA"/>
              </w:rPr>
              <w:t xml:space="preserve">У зв’язку з відсутністю відповідних пропозицій щодо надання </w:t>
            </w:r>
            <w:r w:rsidRPr="00CF7929">
              <w:rPr>
                <w:rFonts w:ascii="Times New Roman" w:hAnsi="Times New Roman"/>
                <w:color w:val="000000"/>
                <w:lang w:val="uk-UA"/>
              </w:rPr>
              <w:t xml:space="preserve"> з стерилізації, вакцинації, вилову та перевезення безпритульних тварин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захід </w:t>
            </w:r>
            <w:r w:rsidR="00206A2F">
              <w:rPr>
                <w:rFonts w:ascii="Times New Roman" w:hAnsi="Times New Roman"/>
                <w:color w:val="000000"/>
                <w:lang w:val="uk-UA"/>
              </w:rPr>
              <w:t xml:space="preserve">не </w:t>
            </w:r>
            <w:r>
              <w:rPr>
                <w:rFonts w:ascii="Times New Roman" w:hAnsi="Times New Roman"/>
                <w:color w:val="000000"/>
                <w:lang w:val="uk-UA"/>
              </w:rPr>
              <w:t>викона</w:t>
            </w:r>
            <w:r w:rsidR="00206A2F">
              <w:rPr>
                <w:rFonts w:ascii="Times New Roman" w:hAnsi="Times New Roman"/>
                <w:color w:val="000000"/>
                <w:lang w:val="uk-UA"/>
              </w:rPr>
              <w:t>но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. </w:t>
            </w:r>
          </w:p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E7AE5" w:rsidRPr="006B3A11" w:rsidTr="00F41404">
        <w:trPr>
          <w:trHeight w:hRule="exact" w:val="280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Обсяг видатків на послуги з вивезення будівельного сміття, в разі утворення внаслідок збройної агресії російської федерації шляхом пошкодження майна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D32C0A" w:rsidP="00206A2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Захід направлений на </w:t>
            </w:r>
            <w:r w:rsidRPr="006B3A11">
              <w:rPr>
                <w:rFonts w:ascii="Times New Roman" w:hAnsi="Times New Roman"/>
                <w:lang w:val="uk-UA"/>
              </w:rPr>
              <w:t>послуги з вивезення будівельного сміття, в разі утворення внаслідок збройної агресії російської федерації шляхом пошкодження майна</w:t>
            </w:r>
            <w:r>
              <w:rPr>
                <w:rFonts w:ascii="Times New Roman" w:hAnsi="Times New Roman"/>
                <w:lang w:val="uk-UA"/>
              </w:rPr>
              <w:t xml:space="preserve">. Впродовж 2023 року пошкодженого майна не фіксувалося, тому </w:t>
            </w:r>
            <w:r w:rsidR="00206A2F">
              <w:rPr>
                <w:rFonts w:ascii="Times New Roman" w:hAnsi="Times New Roman"/>
                <w:lang w:val="uk-UA"/>
              </w:rPr>
              <w:t>підстав</w:t>
            </w:r>
            <w:r>
              <w:rPr>
                <w:rFonts w:ascii="Times New Roman" w:hAnsi="Times New Roman"/>
                <w:lang w:val="uk-UA"/>
              </w:rPr>
              <w:t xml:space="preserve"> для </w:t>
            </w:r>
            <w:r w:rsidRPr="006B3A11">
              <w:rPr>
                <w:rFonts w:ascii="Times New Roman" w:hAnsi="Times New Roman"/>
                <w:lang w:val="uk-UA"/>
              </w:rPr>
              <w:t xml:space="preserve"> використання зазначених коштів не було.</w:t>
            </w:r>
          </w:p>
        </w:tc>
      </w:tr>
      <w:tr w:rsidR="00CE7AE5" w:rsidRPr="006B3A11" w:rsidTr="000E0160">
        <w:trPr>
          <w:trHeight w:hRule="exact" w:val="168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Обсяг видатків на послуги з очищення каналізаційного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колектора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 на КНС в с. Олександрівка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98,14%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Надані послуги з очистки каналізаційного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колектора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та встановлення плит перекриття на каналізаційному колекторі   на  КНС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с.Олександрівка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вул. Центральна 6а  Одеського району Одеської області</w:t>
            </w:r>
          </w:p>
        </w:tc>
      </w:tr>
      <w:tr w:rsidR="00CE7AE5" w:rsidRPr="00351D9E" w:rsidTr="00206A2F">
        <w:trPr>
          <w:trHeight w:hRule="exact" w:val="39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Обсяг видатків на </w:t>
            </w: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відшкодування різниці між розміром тарифу на послугу вивезення ТПВ та розміром економічно обґрунтованих витрат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Відшкодування різниці між розміром тарифу на послугу вивезення ТПВ та розміром економічно обґрунтованих витрат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206A2F" w:rsidP="00206A2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6B3A11">
              <w:rPr>
                <w:rFonts w:ascii="Times New Roman" w:hAnsi="Times New Roman"/>
                <w:lang w:val="uk-UA"/>
              </w:rPr>
              <w:t>ідшкодування різниці в тарифах на вивезення твердих побутових відходів</w:t>
            </w:r>
            <w:r>
              <w:rPr>
                <w:rFonts w:ascii="Times New Roman" w:hAnsi="Times New Roman"/>
                <w:lang w:val="uk-UA"/>
              </w:rPr>
              <w:t xml:space="preserve"> отримано на підставі рішення Виконавчого комітету </w:t>
            </w:r>
            <w:proofErr w:type="spellStart"/>
            <w:r>
              <w:rPr>
                <w:rFonts w:ascii="Times New Roman" w:hAnsi="Times New Roman"/>
                <w:lang w:val="uk-UA"/>
              </w:rPr>
              <w:t>Фонтанської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сільської ради</w:t>
            </w:r>
            <w:r w:rsidRPr="006B3A1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№525 від 30.07.2022 року. За 2023 рік </w:t>
            </w:r>
            <w:r w:rsidRPr="006B3A1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загальний об’єм твердих побутових відходів склав – 41801,9 </w:t>
            </w:r>
            <w:proofErr w:type="spellStart"/>
            <w:r>
              <w:rPr>
                <w:rFonts w:ascii="Times New Roman" w:hAnsi="Times New Roman"/>
                <w:lang w:val="uk-UA"/>
              </w:rPr>
              <w:t>куб.м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на суму 2000,00 </w:t>
            </w: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lang w:val="uk-UA"/>
              </w:rPr>
              <w:t>, а саме:</w:t>
            </w:r>
            <w:r w:rsidRPr="006B3A11">
              <w:rPr>
                <w:rFonts w:ascii="Times New Roman" w:hAnsi="Times New Roman"/>
                <w:lang w:val="uk-UA"/>
              </w:rPr>
              <w:t xml:space="preserve"> на придбання паливно-мастильних матеріалів -1358,4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придбання шин для сміттєвозів – 43,4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, на заробітну плату -491,9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 нарахування на оплату праці 106,3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</w:tr>
      <w:tr w:rsidR="00CE7AE5" w:rsidRPr="006B3A11" w:rsidTr="000E0160">
        <w:trPr>
          <w:trHeight w:hRule="exact" w:val="14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придбання матеріалів (засобів комерційного обліку води)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Встановлено 8 засобів комерційного обліку з водопостачання.</w:t>
            </w:r>
          </w:p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E7AE5" w:rsidRPr="006B3A11" w:rsidTr="000E0160">
        <w:trPr>
          <w:trHeight w:hRule="exact" w:val="28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Організація та проведення громадських робіт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6B3A11">
              <w:rPr>
                <w:rFonts w:ascii="Times New Roman" w:hAnsi="Times New Roman"/>
                <w:lang w:val="uk-UA"/>
              </w:rPr>
              <w:t>Обсяг витрат на забезпечення суспільно корисних робіт</w:t>
            </w:r>
          </w:p>
          <w:p w:rsidR="00CE7AE5" w:rsidRPr="006B3A11" w:rsidRDefault="00CE7AE5" w:rsidP="000E0160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spacing w:after="0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Кошти були  виділені згідно рішення сесії 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Фонтанської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сільської ради від 21.03.2023 року №1168-</w:t>
            </w:r>
            <w:r w:rsidRPr="006B3A11">
              <w:rPr>
                <w:rFonts w:ascii="Times New Roman" w:hAnsi="Times New Roman"/>
                <w:sz w:val="24"/>
                <w:szCs w:val="24"/>
                <w:lang w:val="uk-UA"/>
              </w:rPr>
              <w:t>VIII</w:t>
            </w:r>
            <w:r w:rsidRPr="006B3A11">
              <w:rPr>
                <w:rFonts w:ascii="Times New Roman" w:hAnsi="Times New Roman"/>
                <w:lang w:val="uk-UA"/>
              </w:rPr>
              <w:t xml:space="preserve">, зміни до бюджету відображені та надані до ДКС України 28.03.2023року. </w:t>
            </w:r>
          </w:p>
          <w:p w:rsidR="00CE7AE5" w:rsidRPr="006B3A11" w:rsidRDefault="00CE7AE5" w:rsidP="000E0160">
            <w:pPr>
              <w:spacing w:after="0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За 2023 рік в комунальне підприємство правоохоронними органами  не було направлено осіб, які здійснили правопорушення та направлено на проведення громадських робіт. </w:t>
            </w:r>
          </w:p>
        </w:tc>
      </w:tr>
      <w:tr w:rsidR="00CE7AE5" w:rsidRPr="006B3A11" w:rsidTr="000E0160">
        <w:trPr>
          <w:trHeight w:hRule="exact" w:val="1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ind w:hanging="51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придбання пластикових контейнерів для збору та тимчасового зберігання твердих побутових відходів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придбання пластикових контейнерів для збору та тимчасового зберігання твердих побутових відходів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162,97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99,37%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По результатам тендерної процедури було придбано 70 контейнерів об’ємом 240 літрів та 35 контейнерів об’ємом 120 літрів.</w:t>
            </w:r>
          </w:p>
          <w:p w:rsidR="00CE7AE5" w:rsidRPr="006B3A11" w:rsidRDefault="00CE7AE5" w:rsidP="000E0160">
            <w:pPr>
              <w:rPr>
                <w:rFonts w:ascii="Times New Roman" w:hAnsi="Times New Roman"/>
              </w:rPr>
            </w:pPr>
          </w:p>
        </w:tc>
      </w:tr>
      <w:tr w:rsidR="00CE7AE5" w:rsidRPr="006B3A11" w:rsidTr="000E0160">
        <w:trPr>
          <w:trHeight w:hRule="exact" w:val="2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оплату послуг з поточного ремонту, технічного обслуговування та утримання в належному стані внутрішніх та зовнішніх мереж водовідведення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оплату послуг з поточного ремонту, технічного обслуговування та утримання в належному стані внутрішніх та зовнішніх мереж водовідведення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93,06%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Проводяться роботи по об’єкту: «Утримання в належному стані мереж водовідведення: Поточний ремонт мережі каналізації по вул. Центральна вздовж будинків, 26,20,21,55,13 с.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Фонтанка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Одеського району Одеської області», роботи будуть закінчень в першому кварталі 2024 року</w:t>
            </w:r>
          </w:p>
        </w:tc>
      </w:tr>
      <w:tr w:rsidR="00CE7AE5" w:rsidRPr="006B3A11" w:rsidTr="000E0160">
        <w:trPr>
          <w:trHeight w:hRule="exact" w:val="29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Обсяг видатків на оплату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капітального ремонту</w:t>
            </w: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внутрішніх та зовнішніх мереж водовідведення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Утримання в належному стані </w:t>
            </w:r>
            <w:proofErr w:type="spellStart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зовнішних</w:t>
            </w:r>
            <w:proofErr w:type="spellEnd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мереж водовідведення: Капітальний ремонт мережі водовідведення з облаштуванням вузла обліку, за </w:t>
            </w:r>
            <w:proofErr w:type="spellStart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адресою</w:t>
            </w:r>
            <w:proofErr w:type="spellEnd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Одеська область, Одеський район, </w:t>
            </w:r>
            <w:proofErr w:type="spellStart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с.Фонтанка</w:t>
            </w:r>
            <w:proofErr w:type="spellEnd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Миколаївька</w:t>
            </w:r>
            <w:proofErr w:type="spellEnd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дорога/вул. п-ка Гуляєва ( в </w:t>
            </w:r>
            <w:proofErr w:type="spellStart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т.ч</w:t>
            </w:r>
            <w:proofErr w:type="spellEnd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. виготовлення проектно-кошторисної документації та технічний нагляд)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62,68%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Проведено капітальний ремонт мережі водовідведення з облаштуванням вузла обліку, за </w:t>
            </w:r>
            <w:proofErr w:type="spellStart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адресою</w:t>
            </w:r>
            <w:proofErr w:type="spellEnd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Одеська область, Одеський район, </w:t>
            </w:r>
            <w:proofErr w:type="spellStart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с.Фонтанка</w:t>
            </w:r>
            <w:proofErr w:type="spellEnd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Миколаївська дорога/вул. п-ка Гуляєва</w:t>
            </w:r>
          </w:p>
        </w:tc>
      </w:tr>
    </w:tbl>
    <w:p w:rsidR="00CE7AE5" w:rsidRDefault="00CE7AE5" w:rsidP="00CE7AE5">
      <w:pPr>
        <w:spacing w:line="280" w:lineRule="exact"/>
        <w:ind w:right="24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7AE5" w:rsidRDefault="00CE7AE5" w:rsidP="00CE7AE5">
      <w:pPr>
        <w:spacing w:line="280" w:lineRule="exact"/>
        <w:ind w:right="24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7AE5" w:rsidRDefault="00CE7AE5" w:rsidP="00CE7AE5">
      <w:pPr>
        <w:spacing w:line="280" w:lineRule="exact"/>
        <w:ind w:right="240"/>
        <w:rPr>
          <w:rFonts w:ascii="Times New Roman" w:hAnsi="Times New Roman"/>
          <w:b/>
          <w:bCs/>
          <w:sz w:val="28"/>
          <w:szCs w:val="28"/>
          <w:lang w:val="uk-UA"/>
        </w:rPr>
        <w:sectPr w:rsidR="00CE7AE5" w:rsidSect="006B3A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E7AE5" w:rsidRPr="00F655C8" w:rsidRDefault="00CE7AE5" w:rsidP="00CE7AE5">
      <w:pPr>
        <w:spacing w:line="360" w:lineRule="exact"/>
        <w:jc w:val="both"/>
        <w:rPr>
          <w:rFonts w:ascii="Times New Roman" w:eastAsia="Times New Roman" w:hAnsi="Times New Roman"/>
          <w:b/>
        </w:rPr>
      </w:pPr>
      <w:r w:rsidRPr="00F655C8">
        <w:rPr>
          <w:rFonts w:ascii="Times New Roman" w:eastAsia="Times New Roman" w:hAnsi="Times New Roman"/>
          <w:b/>
        </w:rPr>
        <w:lastRenderedPageBreak/>
        <w:t xml:space="preserve">2. </w:t>
      </w:r>
      <w:proofErr w:type="spellStart"/>
      <w:r w:rsidRPr="00F655C8">
        <w:rPr>
          <w:rFonts w:ascii="Times New Roman" w:eastAsia="Times New Roman" w:hAnsi="Times New Roman"/>
          <w:b/>
        </w:rPr>
        <w:t>Виконання</w:t>
      </w:r>
      <w:proofErr w:type="spellEnd"/>
      <w:r w:rsidRPr="00F655C8">
        <w:rPr>
          <w:rFonts w:ascii="Times New Roman" w:eastAsia="Times New Roman" w:hAnsi="Times New Roman"/>
          <w:b/>
        </w:rPr>
        <w:t xml:space="preserve"> </w:t>
      </w:r>
      <w:proofErr w:type="spellStart"/>
      <w:r w:rsidRPr="00F655C8">
        <w:rPr>
          <w:rFonts w:ascii="Times New Roman" w:eastAsia="Times New Roman" w:hAnsi="Times New Roman"/>
          <w:b/>
        </w:rPr>
        <w:t>результативних</w:t>
      </w:r>
      <w:proofErr w:type="spellEnd"/>
      <w:r w:rsidRPr="00F655C8">
        <w:rPr>
          <w:rFonts w:ascii="Times New Roman" w:eastAsia="Times New Roman" w:hAnsi="Times New Roman"/>
          <w:b/>
        </w:rPr>
        <w:t xml:space="preserve"> </w:t>
      </w:r>
      <w:proofErr w:type="spellStart"/>
      <w:r w:rsidRPr="00F655C8">
        <w:rPr>
          <w:rFonts w:ascii="Times New Roman" w:eastAsia="Times New Roman" w:hAnsi="Times New Roman"/>
          <w:b/>
        </w:rPr>
        <w:t>показників</w:t>
      </w:r>
      <w:proofErr w:type="spellEnd"/>
      <w:r w:rsidRPr="00F655C8">
        <w:rPr>
          <w:rFonts w:ascii="Times New Roman" w:eastAsia="Times New Roman" w:hAnsi="Times New Roman"/>
          <w:b/>
        </w:rPr>
        <w:t xml:space="preserve"> </w:t>
      </w:r>
      <w:proofErr w:type="spellStart"/>
      <w:r w:rsidRPr="00F655C8">
        <w:rPr>
          <w:rFonts w:ascii="Times New Roman" w:eastAsia="Times New Roman" w:hAnsi="Times New Roman"/>
          <w:b/>
        </w:rPr>
        <w:t>Програми</w:t>
      </w:r>
      <w:proofErr w:type="spellEnd"/>
      <w:r w:rsidRPr="00F655C8">
        <w:rPr>
          <w:rFonts w:ascii="Times New Roman" w:eastAsia="Times New Roman" w:hAnsi="Times New Roman"/>
          <w:b/>
        </w:rPr>
        <w:t xml:space="preserve"> (</w:t>
      </w:r>
      <w:proofErr w:type="spellStart"/>
      <w:r w:rsidRPr="00F655C8">
        <w:rPr>
          <w:rFonts w:ascii="Times New Roman" w:eastAsia="Times New Roman" w:hAnsi="Times New Roman"/>
          <w:b/>
        </w:rPr>
        <w:t>заповнюється</w:t>
      </w:r>
      <w:proofErr w:type="spellEnd"/>
      <w:r w:rsidRPr="00F655C8">
        <w:rPr>
          <w:rFonts w:ascii="Times New Roman" w:eastAsia="Times New Roman" w:hAnsi="Times New Roman"/>
          <w:b/>
        </w:rPr>
        <w:t xml:space="preserve"> при </w:t>
      </w:r>
      <w:proofErr w:type="spellStart"/>
      <w:r w:rsidRPr="00F655C8">
        <w:rPr>
          <w:rFonts w:ascii="Times New Roman" w:eastAsia="Times New Roman" w:hAnsi="Times New Roman"/>
          <w:b/>
        </w:rPr>
        <w:t>підготовці</w:t>
      </w:r>
      <w:proofErr w:type="spellEnd"/>
      <w:r w:rsidRPr="00F655C8">
        <w:rPr>
          <w:rFonts w:ascii="Times New Roman" w:eastAsia="Times New Roman" w:hAnsi="Times New Roman"/>
          <w:b/>
        </w:rPr>
        <w:t xml:space="preserve"> </w:t>
      </w:r>
      <w:proofErr w:type="spellStart"/>
      <w:r w:rsidRPr="00F655C8">
        <w:rPr>
          <w:rFonts w:ascii="Times New Roman" w:eastAsia="Times New Roman" w:hAnsi="Times New Roman"/>
          <w:b/>
        </w:rPr>
        <w:t>річного</w:t>
      </w:r>
      <w:proofErr w:type="spellEnd"/>
      <w:r w:rsidRPr="00F655C8">
        <w:rPr>
          <w:rFonts w:ascii="Times New Roman" w:eastAsia="Times New Roman" w:hAnsi="Times New Roman"/>
          <w:b/>
        </w:rPr>
        <w:t xml:space="preserve"> та </w:t>
      </w:r>
      <w:proofErr w:type="spellStart"/>
      <w:r w:rsidRPr="00F655C8">
        <w:rPr>
          <w:rFonts w:ascii="Times New Roman" w:eastAsia="Times New Roman" w:hAnsi="Times New Roman"/>
          <w:b/>
        </w:rPr>
        <w:t>заключного</w:t>
      </w:r>
      <w:proofErr w:type="spellEnd"/>
      <w:r w:rsidRPr="00F655C8">
        <w:rPr>
          <w:rFonts w:ascii="Times New Roman" w:eastAsia="Times New Roman" w:hAnsi="Times New Roman"/>
          <w:b/>
        </w:rPr>
        <w:t xml:space="preserve"> </w:t>
      </w:r>
      <w:proofErr w:type="spellStart"/>
      <w:r w:rsidRPr="00F655C8">
        <w:rPr>
          <w:rFonts w:ascii="Times New Roman" w:eastAsia="Times New Roman" w:hAnsi="Times New Roman"/>
          <w:b/>
        </w:rPr>
        <w:t>звіту</w:t>
      </w:r>
      <w:proofErr w:type="spellEnd"/>
      <w:r w:rsidRPr="00F655C8">
        <w:rPr>
          <w:rFonts w:ascii="Times New Roman" w:eastAsia="Times New Roman" w:hAnsi="Times New Roman"/>
          <w:b/>
        </w:rPr>
        <w:t xml:space="preserve"> про </w:t>
      </w:r>
      <w:proofErr w:type="spellStart"/>
      <w:r w:rsidRPr="00F655C8">
        <w:rPr>
          <w:rFonts w:ascii="Times New Roman" w:eastAsia="Times New Roman" w:hAnsi="Times New Roman"/>
          <w:b/>
        </w:rPr>
        <w:t>виконання</w:t>
      </w:r>
      <w:proofErr w:type="spellEnd"/>
      <w:r w:rsidRPr="00F655C8">
        <w:rPr>
          <w:rFonts w:ascii="Times New Roman" w:eastAsia="Times New Roman" w:hAnsi="Times New Roman"/>
          <w:b/>
        </w:rPr>
        <w:t xml:space="preserve"> </w:t>
      </w:r>
      <w:proofErr w:type="spellStart"/>
      <w:r w:rsidRPr="00F655C8">
        <w:rPr>
          <w:rFonts w:ascii="Times New Roman" w:eastAsia="Times New Roman" w:hAnsi="Times New Roman"/>
          <w:b/>
        </w:rPr>
        <w:t>програми</w:t>
      </w:r>
      <w:proofErr w:type="spellEnd"/>
      <w:r w:rsidRPr="00F655C8">
        <w:rPr>
          <w:rFonts w:ascii="Times New Roman" w:eastAsia="Times New Roman" w:hAnsi="Times New Roman"/>
          <w:b/>
        </w:rPr>
        <w:t>)</w:t>
      </w:r>
    </w:p>
    <w:tbl>
      <w:tblPr>
        <w:tblpPr w:leftFromText="180" w:rightFromText="180" w:vertAnchor="text" w:horzAnchor="margin" w:tblpY="514"/>
        <w:tblOverlap w:val="never"/>
        <w:tblW w:w="13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66"/>
        <w:gridCol w:w="1536"/>
        <w:gridCol w:w="1278"/>
        <w:gridCol w:w="5529"/>
        <w:gridCol w:w="2126"/>
      </w:tblGrid>
      <w:tr w:rsidR="00CE7AE5" w:rsidRPr="006403F6" w:rsidTr="00912C95">
        <w:trPr>
          <w:trHeight w:hRule="exact" w:val="1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403F6" w:rsidRDefault="00CE7AE5" w:rsidP="000E0160">
            <w:pPr>
              <w:spacing w:after="60" w:line="280" w:lineRule="exact"/>
              <w:ind w:left="160"/>
              <w:jc w:val="both"/>
            </w:pPr>
            <w:r w:rsidRPr="006403F6">
              <w:rPr>
                <w:rStyle w:val="2"/>
                <w:rFonts w:eastAsia="Microsoft Sans Serif"/>
              </w:rPr>
              <w:t>№</w:t>
            </w:r>
          </w:p>
          <w:p w:rsidR="00CE7AE5" w:rsidRPr="006403F6" w:rsidRDefault="00CE7AE5" w:rsidP="000E0160">
            <w:pPr>
              <w:spacing w:before="60" w:line="190" w:lineRule="exact"/>
              <w:ind w:left="160"/>
              <w:jc w:val="both"/>
            </w:pPr>
            <w:r w:rsidRPr="006403F6">
              <w:rPr>
                <w:rStyle w:val="295pt"/>
                <w:rFonts w:eastAsia="Microsoft Sans Serif"/>
                <w:color w:val="auto"/>
              </w:rPr>
              <w:t>з/п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403F6" w:rsidRDefault="00CE7AE5" w:rsidP="000E0160">
            <w:pPr>
              <w:spacing w:line="190" w:lineRule="exact"/>
              <w:jc w:val="both"/>
            </w:pPr>
            <w:r w:rsidRPr="006403F6">
              <w:rPr>
                <w:rStyle w:val="295pt"/>
                <w:rFonts w:eastAsia="Microsoft Sans Serif"/>
                <w:color w:val="auto"/>
              </w:rPr>
              <w:t>Найменування показника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403F6" w:rsidRDefault="00CE7AE5" w:rsidP="000E0160">
            <w:pPr>
              <w:spacing w:line="250" w:lineRule="exact"/>
              <w:jc w:val="both"/>
            </w:pPr>
            <w:r w:rsidRPr="006403F6">
              <w:rPr>
                <w:rStyle w:val="295pt"/>
                <w:rFonts w:eastAsia="Microsoft Sans Serif"/>
                <w:color w:val="auto"/>
              </w:rPr>
              <w:t>Планове</w:t>
            </w:r>
          </w:p>
          <w:p w:rsidR="00CE7AE5" w:rsidRPr="006403F6" w:rsidRDefault="00CE7AE5" w:rsidP="000E0160">
            <w:pPr>
              <w:spacing w:line="250" w:lineRule="exact"/>
              <w:jc w:val="both"/>
            </w:pPr>
            <w:r w:rsidRPr="006403F6">
              <w:rPr>
                <w:rStyle w:val="295pt"/>
                <w:rFonts w:eastAsia="Microsoft Sans Serif"/>
                <w:color w:val="auto"/>
              </w:rPr>
              <w:t>значення</w:t>
            </w:r>
          </w:p>
          <w:p w:rsidR="00CE7AE5" w:rsidRPr="006403F6" w:rsidRDefault="00CE7AE5" w:rsidP="000E0160">
            <w:pPr>
              <w:spacing w:line="250" w:lineRule="exact"/>
              <w:jc w:val="both"/>
            </w:pPr>
            <w:r w:rsidRPr="006403F6">
              <w:rPr>
                <w:rStyle w:val="295pt"/>
                <w:rFonts w:eastAsia="Microsoft Sans Serif"/>
                <w:color w:val="auto"/>
              </w:rPr>
              <w:t>показника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403F6" w:rsidRDefault="00CE7AE5" w:rsidP="000E0160">
            <w:pPr>
              <w:spacing w:line="250" w:lineRule="exact"/>
              <w:ind w:left="280"/>
              <w:jc w:val="both"/>
            </w:pPr>
            <w:r w:rsidRPr="006403F6">
              <w:rPr>
                <w:rStyle w:val="295pt"/>
                <w:rFonts w:eastAsia="Microsoft Sans Serif"/>
                <w:color w:val="auto"/>
              </w:rPr>
              <w:t>Фактичне</w:t>
            </w:r>
          </w:p>
          <w:p w:rsidR="00CE7AE5" w:rsidRPr="006403F6" w:rsidRDefault="00CE7AE5" w:rsidP="000E0160">
            <w:pPr>
              <w:spacing w:line="250" w:lineRule="exact"/>
              <w:ind w:left="280"/>
              <w:jc w:val="both"/>
            </w:pPr>
            <w:r w:rsidRPr="006403F6">
              <w:rPr>
                <w:rStyle w:val="295pt"/>
                <w:rFonts w:eastAsia="Microsoft Sans Serif"/>
                <w:color w:val="auto"/>
              </w:rPr>
              <w:t>значення</w:t>
            </w:r>
          </w:p>
          <w:p w:rsidR="00CE7AE5" w:rsidRPr="006403F6" w:rsidRDefault="00CE7AE5" w:rsidP="000E0160">
            <w:pPr>
              <w:spacing w:line="250" w:lineRule="exact"/>
              <w:ind w:left="280"/>
              <w:jc w:val="both"/>
            </w:pPr>
            <w:r w:rsidRPr="006403F6">
              <w:rPr>
                <w:rStyle w:val="295pt"/>
                <w:rFonts w:eastAsia="Microsoft Sans Serif"/>
                <w:color w:val="auto"/>
              </w:rPr>
              <w:t>показника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AE5" w:rsidRPr="006403F6" w:rsidRDefault="00CE7AE5" w:rsidP="000E0160">
            <w:pPr>
              <w:spacing w:after="120" w:line="190" w:lineRule="exact"/>
              <w:jc w:val="center"/>
            </w:pPr>
            <w:r w:rsidRPr="006403F6">
              <w:rPr>
                <w:rStyle w:val="295pt"/>
                <w:rFonts w:eastAsia="Microsoft Sans Serif"/>
                <w:color w:val="auto"/>
              </w:rPr>
              <w:t>Причини</w:t>
            </w:r>
          </w:p>
          <w:p w:rsidR="00CE7AE5" w:rsidRPr="006403F6" w:rsidRDefault="00CE7AE5" w:rsidP="000E0160">
            <w:pPr>
              <w:spacing w:before="120" w:line="190" w:lineRule="exact"/>
              <w:ind w:left="160"/>
              <w:jc w:val="center"/>
            </w:pPr>
            <w:r w:rsidRPr="006403F6">
              <w:rPr>
                <w:rStyle w:val="295pt"/>
                <w:rFonts w:eastAsia="Microsoft Sans Serif"/>
                <w:color w:val="auto"/>
              </w:rPr>
              <w:t>невиконання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AE5" w:rsidRPr="006403F6" w:rsidRDefault="00CE7AE5" w:rsidP="000E0160">
            <w:pPr>
              <w:spacing w:line="250" w:lineRule="exact"/>
              <w:jc w:val="both"/>
            </w:pPr>
            <w:r w:rsidRPr="006403F6">
              <w:rPr>
                <w:rStyle w:val="295pt"/>
                <w:rFonts w:eastAsia="Microsoft Sans Serif"/>
                <w:color w:val="auto"/>
              </w:rPr>
              <w:t>Що зроблено</w:t>
            </w:r>
            <w:r w:rsidRPr="006403F6">
              <w:rPr>
                <w:rStyle w:val="295pt"/>
                <w:rFonts w:eastAsia="Microsoft Sans Serif"/>
                <w:color w:val="auto"/>
              </w:rPr>
              <w:br/>
              <w:t>для</w:t>
            </w:r>
            <w:r>
              <w:rPr>
                <w:rStyle w:val="295pt"/>
                <w:rFonts w:eastAsia="Microsoft Sans Serif"/>
                <w:color w:val="auto"/>
              </w:rPr>
              <w:t xml:space="preserve"> </w:t>
            </w:r>
            <w:r w:rsidRPr="006403F6">
              <w:rPr>
                <w:rStyle w:val="295pt"/>
                <w:rFonts w:eastAsia="Microsoft Sans Serif"/>
                <w:color w:val="auto"/>
              </w:rPr>
              <w:t>виправлення</w:t>
            </w:r>
          </w:p>
          <w:p w:rsidR="00CE7AE5" w:rsidRPr="006403F6" w:rsidRDefault="00CE7AE5" w:rsidP="000E0160">
            <w:pPr>
              <w:spacing w:line="250" w:lineRule="exact"/>
              <w:jc w:val="both"/>
            </w:pPr>
            <w:r w:rsidRPr="006403F6">
              <w:rPr>
                <w:rStyle w:val="295pt"/>
                <w:rFonts w:eastAsia="Microsoft Sans Serif"/>
                <w:color w:val="auto"/>
              </w:rPr>
              <w:t>ситуації</w:t>
            </w:r>
          </w:p>
        </w:tc>
      </w:tr>
      <w:tr w:rsidR="00CE7AE5" w:rsidRPr="00D32C0A" w:rsidTr="00F0300D">
        <w:trPr>
          <w:trHeight w:hRule="exact" w:val="5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403F6" w:rsidRDefault="00CE7AE5" w:rsidP="000E0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544434" w:rsidRDefault="00CE7AE5" w:rsidP="000E01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A11">
              <w:rPr>
                <w:rFonts w:ascii="Times New Roman" w:hAnsi="Times New Roman"/>
                <w:lang w:val="uk-UA" w:eastAsia="ru-RU"/>
              </w:rPr>
              <w:t>Обсяг видатків на фінансування комунальних підприємств, що ведуть діяльність у сфері благоустрою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BC1AB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18166,6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3F0197" w:rsidRDefault="00D32C0A" w:rsidP="00D32C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17521,6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0D" w:rsidRDefault="00F0300D" w:rsidP="000E016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Обсяг видатків на фінансування комунального підприємства, що ведуть діяльність у сфері благоустрою складає 96,45%. Не виконання склало в сумі 645000,00 грн., а саме:</w:t>
            </w:r>
          </w:p>
          <w:p w:rsidR="00CE7AE5" w:rsidRDefault="00912C9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CE7AE5">
              <w:rPr>
                <w:rFonts w:ascii="Times New Roman" w:hAnsi="Times New Roman"/>
                <w:lang w:val="uk-UA"/>
              </w:rPr>
              <w:t>Захід направлений на</w:t>
            </w:r>
            <w:r w:rsidR="00CE7AE5" w:rsidRPr="006B3A11">
              <w:rPr>
                <w:rFonts w:ascii="Times New Roman" w:hAnsi="Times New Roman"/>
                <w:lang w:val="uk-UA"/>
              </w:rPr>
              <w:t xml:space="preserve"> вивезення будівельного сміття, в разі утворення внаслідок збройної агресії російської федерації шляхом пошкодження майна</w:t>
            </w:r>
            <w:r w:rsidR="00CE7AE5">
              <w:rPr>
                <w:rFonts w:ascii="Times New Roman" w:hAnsi="Times New Roman"/>
                <w:lang w:val="uk-UA"/>
              </w:rPr>
              <w:t xml:space="preserve">. Кошти не були використані у зв’язку з тим, що пошкодженого майна не було </w:t>
            </w:r>
            <w:r w:rsidR="00CE7AE5" w:rsidRPr="006B3A11">
              <w:rPr>
                <w:rFonts w:ascii="Times New Roman" w:hAnsi="Times New Roman"/>
                <w:lang w:val="uk-UA"/>
              </w:rPr>
              <w:t xml:space="preserve">підстав </w:t>
            </w:r>
            <w:r w:rsidR="00CE7AE5">
              <w:rPr>
                <w:rFonts w:ascii="Times New Roman" w:hAnsi="Times New Roman"/>
                <w:lang w:val="uk-UA"/>
              </w:rPr>
              <w:t>для використання коштів, залишок коштів складає  199,0 тис. грн.</w:t>
            </w:r>
          </w:p>
          <w:p w:rsidR="00CE7AE5" w:rsidRDefault="00912C9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CE7AE5">
              <w:rPr>
                <w:rFonts w:ascii="Times New Roman" w:hAnsi="Times New Roman"/>
                <w:lang w:val="uk-UA"/>
              </w:rPr>
              <w:t xml:space="preserve">Захід з розчистки </w:t>
            </w:r>
            <w:r w:rsidR="00CE7AE5" w:rsidRPr="006B3A11">
              <w:rPr>
                <w:rFonts w:ascii="Times New Roman" w:hAnsi="Times New Roman"/>
                <w:lang w:val="uk-UA"/>
              </w:rPr>
              <w:t xml:space="preserve"> шляхопроводів від снігу</w:t>
            </w:r>
            <w:r w:rsidR="00CE7AE5">
              <w:rPr>
                <w:rFonts w:ascii="Times New Roman" w:hAnsi="Times New Roman"/>
                <w:lang w:val="uk-UA"/>
              </w:rPr>
              <w:t xml:space="preserve"> не виконаний в повному обсязі у зв’язку </w:t>
            </w:r>
            <w:r w:rsidR="00CE7AE5" w:rsidRPr="006B3A11">
              <w:rPr>
                <w:rFonts w:ascii="Times New Roman" w:hAnsi="Times New Roman"/>
                <w:lang w:val="uk-UA"/>
              </w:rPr>
              <w:t>зі сприятливими погодними умовами</w:t>
            </w:r>
            <w:r w:rsidR="00CE7AE5">
              <w:rPr>
                <w:rFonts w:ascii="Times New Roman" w:hAnsi="Times New Roman"/>
                <w:lang w:val="uk-UA"/>
              </w:rPr>
              <w:t xml:space="preserve">, залишок коштів складає 398,0 </w:t>
            </w:r>
            <w:proofErr w:type="spellStart"/>
            <w:r w:rsidR="00CE7AE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CE7AE5" w:rsidRPr="006B3A11" w:rsidRDefault="00912C9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3.</w:t>
            </w:r>
            <w:r w:rsidR="00CE7AE5" w:rsidRPr="00BE125A">
              <w:rPr>
                <w:rFonts w:ascii="Times New Roman" w:hAnsi="Times New Roman"/>
                <w:color w:val="000000"/>
                <w:lang w:val="uk-UA"/>
              </w:rPr>
              <w:t>Послуги з стерилізації, вакцинації, вилову та перевезення безпритульних тварин</w:t>
            </w:r>
            <w:r w:rsidR="00CE7AE5">
              <w:rPr>
                <w:rFonts w:ascii="Times New Roman" w:hAnsi="Times New Roman"/>
                <w:color w:val="000000"/>
                <w:lang w:val="uk-UA"/>
              </w:rPr>
              <w:t xml:space="preserve"> не виконаний</w:t>
            </w:r>
            <w:r w:rsidR="00D32C0A">
              <w:rPr>
                <w:rFonts w:ascii="Times New Roman" w:hAnsi="Times New Roman"/>
                <w:color w:val="000000"/>
                <w:lang w:val="uk-UA"/>
              </w:rPr>
              <w:t xml:space="preserve"> у зв’язку з відсутністю суб’єкта господарювання, які надають відповідні послуги та відсутність відповідних пропозицій.</w:t>
            </w:r>
          </w:p>
          <w:p w:rsidR="00CE7AE5" w:rsidRPr="00BE125A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Default="00912C95" w:rsidP="00912C95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1.Отримані комерційні пропозиції та підготовлено проект договору </w:t>
            </w:r>
          </w:p>
          <w:p w:rsidR="00912C95" w:rsidRDefault="00912C95" w:rsidP="00912C95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912C95" w:rsidRDefault="00912C95" w:rsidP="00912C95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2.Проведена тендерна закупівля, укладені договори з надавачами послуг.</w:t>
            </w:r>
          </w:p>
          <w:p w:rsidR="00912C95" w:rsidRPr="00072234" w:rsidRDefault="00912C95" w:rsidP="00912C95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3.Проводився пошук підприємств, які мають право надавати зазначені послуги</w:t>
            </w:r>
          </w:p>
        </w:tc>
      </w:tr>
      <w:tr w:rsidR="00CE7AE5" w:rsidRPr="00107465" w:rsidTr="00912C95">
        <w:trPr>
          <w:trHeight w:hRule="exact" w:val="14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BE125A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BE125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Обсяг видатків на </w:t>
            </w: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відшкодування різниці між розміром тарифу на послугу вивезення ТПВ та розміром економічно обґрунтованих витрат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107465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107465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107465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E7AE5" w:rsidRPr="006403F6" w:rsidTr="00912C95">
        <w:trPr>
          <w:trHeight w:hRule="exact" w:val="9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403F6" w:rsidRDefault="00CE7AE5" w:rsidP="000E0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203,7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403F6" w:rsidRDefault="00CE7AE5" w:rsidP="000E0160">
            <w:pPr>
              <w:jc w:val="both"/>
              <w:rPr>
                <w:rFonts w:ascii="Times New Roman" w:hAnsi="Times New Roman"/>
              </w:rPr>
            </w:pPr>
          </w:p>
        </w:tc>
      </w:tr>
      <w:tr w:rsidR="00CE7AE5" w:rsidRPr="006403F6" w:rsidTr="00912C95">
        <w:trPr>
          <w:trHeight w:hRule="exact" w:val="25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403F6" w:rsidRDefault="00CE7AE5" w:rsidP="000E0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Організація та проведення громадських робіт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Default="00CE7AE5" w:rsidP="000E0160">
            <w:pPr>
              <w:jc w:val="center"/>
            </w:pPr>
            <w:r w:rsidRPr="00557A9B">
              <w:rPr>
                <w:rFonts w:ascii="Times New Roman" w:hAnsi="Times New Roman"/>
              </w:rPr>
              <w:t>50,00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BC1AB1" w:rsidRDefault="00CE7AE5" w:rsidP="000E0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spacing w:after="0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Кошти були  виділені згідно рішення сесії 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Фонтанської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сільської ради від 21.03.2023 року №1168-</w:t>
            </w:r>
            <w:r w:rsidRPr="006B3A11">
              <w:rPr>
                <w:rFonts w:ascii="Times New Roman" w:hAnsi="Times New Roman"/>
                <w:sz w:val="24"/>
                <w:szCs w:val="24"/>
                <w:lang w:val="uk-UA"/>
              </w:rPr>
              <w:t>VIII</w:t>
            </w:r>
            <w:r w:rsidRPr="006B3A11">
              <w:rPr>
                <w:rFonts w:ascii="Times New Roman" w:hAnsi="Times New Roman"/>
                <w:lang w:val="uk-UA"/>
              </w:rPr>
              <w:t xml:space="preserve">, зміни до бюджету відображені та надані до ДКС України 28.03.2023року. </w:t>
            </w:r>
          </w:p>
          <w:p w:rsidR="00CE7AE5" w:rsidRPr="006403F6" w:rsidRDefault="00CE7AE5" w:rsidP="000E0160">
            <w:pPr>
              <w:jc w:val="both"/>
              <w:rPr>
                <w:rFonts w:ascii="Times New Roman" w:hAnsi="Times New Roman"/>
              </w:rPr>
            </w:pPr>
            <w:r w:rsidRPr="006B3A11">
              <w:rPr>
                <w:rFonts w:ascii="Times New Roman" w:hAnsi="Times New Roman"/>
                <w:lang w:val="uk-UA"/>
              </w:rPr>
              <w:t>За 2023 рік в комунальне підприємство правоохоронними органами  не було направлено осіб, які здійснили правопорушення та направлено на проведення громадських робіт.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403F6" w:rsidRDefault="00CE7AE5" w:rsidP="000E0160">
            <w:pPr>
              <w:jc w:val="both"/>
              <w:rPr>
                <w:rFonts w:ascii="Times New Roman" w:hAnsi="Times New Roman"/>
              </w:rPr>
            </w:pPr>
          </w:p>
        </w:tc>
      </w:tr>
      <w:tr w:rsidR="00CE7AE5" w:rsidRPr="006403F6" w:rsidTr="00912C95">
        <w:trPr>
          <w:trHeight w:hRule="exact" w:val="14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BC1AB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ind w:hanging="51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придбання пластикових контейнерів для збору та тимчасового зберігання твердих побутових відходів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162,97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6B3A11" w:rsidRDefault="00CE7AE5" w:rsidP="000E0160">
            <w:pPr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По результатам тендерної процедури було придбано 70 контейнерів об’ємом 240 літрів та 35 контейнерів об’ємом 120 літрів.</w:t>
            </w:r>
            <w:r>
              <w:rPr>
                <w:rFonts w:ascii="Times New Roman" w:hAnsi="Times New Roman"/>
                <w:lang w:val="uk-UA"/>
              </w:rPr>
              <w:t xml:space="preserve"> Економія коштів складає 2,03 </w:t>
            </w: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CE7AE5" w:rsidRPr="00BC1AB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403F6" w:rsidRDefault="00CE7AE5" w:rsidP="000E0160">
            <w:pPr>
              <w:jc w:val="both"/>
              <w:rPr>
                <w:rFonts w:ascii="Times New Roman" w:hAnsi="Times New Roman"/>
              </w:rPr>
            </w:pPr>
          </w:p>
        </w:tc>
      </w:tr>
      <w:tr w:rsidR="00CE7AE5" w:rsidRPr="006403F6" w:rsidTr="00912C95">
        <w:trPr>
          <w:trHeight w:hRule="exact" w:val="25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BC1AB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544434" w:rsidRDefault="00CE7AE5" w:rsidP="000E016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оплату послуг з поточного ремонту, технічного обслуговування та утримання в належному стані внутрішніх та зовнішніх мереж водовідведення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 w:rsidRPr="006B3A11">
              <w:rPr>
                <w:rFonts w:ascii="Times New Roman" w:hAnsi="Times New Roman"/>
                <w:lang w:val="uk-UA"/>
              </w:rPr>
              <w:t>1861,2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Default="00CE7AE5" w:rsidP="000E0160">
            <w:pPr>
              <w:jc w:val="both"/>
              <w:rPr>
                <w:rFonts w:ascii="Times New Roman" w:hAnsi="Times New Roman"/>
              </w:rPr>
            </w:pPr>
            <w:r w:rsidRPr="006B3A11">
              <w:rPr>
                <w:rFonts w:ascii="Times New Roman" w:hAnsi="Times New Roman"/>
                <w:lang w:val="uk-UA"/>
              </w:rPr>
              <w:t xml:space="preserve">Проводяться роботи по об’єкту: «Утримання в належному стані мереж водовідведення: Поточний ремонт мережі каналізації по вул. Центральна вздовж будинків, 26,20,21,55,13 с. </w:t>
            </w:r>
            <w:proofErr w:type="spellStart"/>
            <w:r w:rsidRPr="006B3A11">
              <w:rPr>
                <w:rFonts w:ascii="Times New Roman" w:hAnsi="Times New Roman"/>
                <w:lang w:val="uk-UA"/>
              </w:rPr>
              <w:t>Фонтанка</w:t>
            </w:r>
            <w:proofErr w:type="spellEnd"/>
            <w:r w:rsidRPr="006B3A11">
              <w:rPr>
                <w:rFonts w:ascii="Times New Roman" w:hAnsi="Times New Roman"/>
                <w:lang w:val="uk-UA"/>
              </w:rPr>
              <w:t xml:space="preserve"> Оде</w:t>
            </w:r>
            <w:r>
              <w:rPr>
                <w:rFonts w:ascii="Times New Roman" w:hAnsi="Times New Roman"/>
                <w:lang w:val="uk-UA"/>
              </w:rPr>
              <w:t xml:space="preserve">ського району Одеської області». По результатам тендерної процедури укладено договір на </w:t>
            </w:r>
            <w:r w:rsidRPr="006B3A1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1938678,00 грн та на технічний нагляд 23666,99 грн. Р</w:t>
            </w:r>
            <w:r w:rsidRPr="006B3A11">
              <w:rPr>
                <w:rFonts w:ascii="Times New Roman" w:hAnsi="Times New Roman"/>
                <w:lang w:val="uk-UA"/>
              </w:rPr>
              <w:t>оботи будуть закінчень в першому кварталі 2024 року</w:t>
            </w:r>
            <w:r>
              <w:rPr>
                <w:rFonts w:ascii="Times New Roman" w:hAnsi="Times New Roman"/>
                <w:lang w:val="uk-UA"/>
              </w:rPr>
              <w:t xml:space="preserve"> на суму 101117,43 грн, в </w:t>
            </w:r>
            <w:proofErr w:type="spellStart"/>
            <w:r>
              <w:rPr>
                <w:rFonts w:ascii="Times New Roman" w:hAnsi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lang w:val="uk-UA"/>
              </w:rPr>
              <w:t>. послуги з технічного нагляду 1206,46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403F6" w:rsidRDefault="00CE7AE5" w:rsidP="000E0160">
            <w:pPr>
              <w:jc w:val="both"/>
              <w:rPr>
                <w:rFonts w:ascii="Times New Roman" w:hAnsi="Times New Roman"/>
              </w:rPr>
            </w:pPr>
          </w:p>
        </w:tc>
      </w:tr>
      <w:tr w:rsidR="00CE7AE5" w:rsidRPr="006403F6" w:rsidTr="00912C95">
        <w:trPr>
          <w:trHeight w:hRule="exact" w:val="1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BC1AB1" w:rsidRDefault="00CE7AE5" w:rsidP="000E016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544434" w:rsidRDefault="00CE7AE5" w:rsidP="000E016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Обсяг видатків на оплату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капітального ремонту</w:t>
            </w: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внутрішніх та зовнішніх мереж водовідведення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Pr="00BC1AB1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Default="00CE7AE5" w:rsidP="000E016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626,8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E5" w:rsidRDefault="00CE7AE5" w:rsidP="000E0160">
            <w:pPr>
              <w:jc w:val="both"/>
              <w:rPr>
                <w:rFonts w:ascii="Times New Roman" w:hAnsi="Times New Roman"/>
              </w:rPr>
            </w:pPr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Проведено капітальний ремонт мережі водовідведення з облаштуванням вузла обліку, за </w:t>
            </w:r>
            <w:proofErr w:type="spellStart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адресою</w:t>
            </w:r>
            <w:proofErr w:type="spellEnd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Одеська область, Одеський район, </w:t>
            </w:r>
            <w:proofErr w:type="spellStart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>с.Фонтанка</w:t>
            </w:r>
            <w:proofErr w:type="spellEnd"/>
            <w:r w:rsidRPr="006B3A1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Миколаївська дорога/вул. п-ка Гуляєва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. Роботи виконані в повному обсязі, економія складає 373,2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E5" w:rsidRPr="006403F6" w:rsidRDefault="00CE7AE5" w:rsidP="000E016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E7AE5" w:rsidRDefault="00CE7AE5" w:rsidP="00CE7AE5">
      <w:pPr>
        <w:tabs>
          <w:tab w:val="left" w:pos="284"/>
        </w:tabs>
        <w:spacing w:before="300" w:line="322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E7AE5" w:rsidRDefault="00CE7AE5" w:rsidP="00CE7AE5">
      <w:pPr>
        <w:tabs>
          <w:tab w:val="left" w:pos="284"/>
        </w:tabs>
        <w:spacing w:before="300" w:line="322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E7AE5" w:rsidRPr="004A75DC" w:rsidRDefault="00CE7AE5" w:rsidP="00CE7AE5">
      <w:pPr>
        <w:tabs>
          <w:tab w:val="left" w:pos="284"/>
        </w:tabs>
        <w:spacing w:before="300"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Оцінка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ефективності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пропозиції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подальшої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здійснюється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при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підготовці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річного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заключного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75DC">
        <w:rPr>
          <w:rFonts w:ascii="Times New Roman" w:hAnsi="Times New Roman"/>
          <w:b/>
          <w:sz w:val="28"/>
          <w:szCs w:val="28"/>
        </w:rPr>
        <w:t>звіту</w:t>
      </w:r>
      <w:proofErr w:type="spellEnd"/>
      <w:r w:rsidRPr="004A75DC">
        <w:rPr>
          <w:rFonts w:ascii="Times New Roman" w:hAnsi="Times New Roman"/>
          <w:b/>
          <w:sz w:val="28"/>
          <w:szCs w:val="28"/>
        </w:rPr>
        <w:t>).</w:t>
      </w:r>
    </w:p>
    <w:p w:rsidR="00F0300D" w:rsidRDefault="00F0300D" w:rsidP="00F0300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744" w:rsidRPr="00C56FB5" w:rsidRDefault="00EA0D6E" w:rsidP="00A7274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FB5">
        <w:rPr>
          <w:rFonts w:ascii="Times New Roman" w:hAnsi="Times New Roman"/>
          <w:sz w:val="28"/>
          <w:szCs w:val="28"/>
          <w:lang w:val="uk-UA"/>
        </w:rPr>
        <w:t>П</w:t>
      </w:r>
      <w:r w:rsidRPr="00C56FB5">
        <w:rPr>
          <w:rFonts w:ascii="Times New Roman" w:hAnsi="Times New Roman"/>
          <w:color w:val="000000"/>
          <w:sz w:val="28"/>
          <w:szCs w:val="28"/>
          <w:lang w:val="uk-UA"/>
        </w:rPr>
        <w:t xml:space="preserve">рограма </w:t>
      </w:r>
      <w:r w:rsidRPr="00C56FB5">
        <w:rPr>
          <w:rFonts w:ascii="Times New Roman" w:hAnsi="Times New Roman"/>
          <w:sz w:val="28"/>
          <w:szCs w:val="28"/>
          <w:lang w:val="uk-UA"/>
        </w:rPr>
        <w:t xml:space="preserve">розвитку та фінансової підтримки КП «Надія» </w:t>
      </w:r>
      <w:proofErr w:type="spellStart"/>
      <w:r w:rsidRPr="00C56FB5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C56FB5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</w:t>
      </w:r>
      <w:r w:rsidRPr="00C56FB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2023 – 2025 роки» затверджена рішенням сесії </w:t>
      </w:r>
      <w:proofErr w:type="spellStart"/>
      <w:r w:rsidRPr="00C56FB5">
        <w:rPr>
          <w:rFonts w:ascii="Times New Roman" w:hAnsi="Times New Roman"/>
          <w:color w:val="000000"/>
          <w:sz w:val="28"/>
          <w:szCs w:val="28"/>
          <w:lang w:val="uk-UA"/>
        </w:rPr>
        <w:t>Ф</w:t>
      </w:r>
      <w:r w:rsidRPr="00C56FB5">
        <w:rPr>
          <w:rFonts w:ascii="Times New Roman" w:hAnsi="Times New Roman"/>
          <w:sz w:val="28"/>
          <w:szCs w:val="28"/>
          <w:lang w:val="uk-UA"/>
        </w:rPr>
        <w:t>онтанської</w:t>
      </w:r>
      <w:proofErr w:type="spellEnd"/>
      <w:r w:rsidRPr="00C56FB5">
        <w:rPr>
          <w:rFonts w:ascii="Times New Roman" w:hAnsi="Times New Roman"/>
          <w:sz w:val="28"/>
          <w:szCs w:val="28"/>
          <w:lang w:val="uk-UA"/>
        </w:rPr>
        <w:t xml:space="preserve"> сільської ради від 28.12.2022 року №</w:t>
      </w:r>
      <w:r w:rsidR="00C56FB5" w:rsidRPr="00C56FB5">
        <w:rPr>
          <w:rFonts w:ascii="Times New Roman" w:hAnsi="Times New Roman"/>
          <w:sz w:val="28"/>
          <w:szCs w:val="28"/>
          <w:lang w:val="uk-UA"/>
        </w:rPr>
        <w:t>1074-</w:t>
      </w:r>
      <w:r w:rsidR="00C56FB5" w:rsidRPr="00C56FB5">
        <w:rPr>
          <w:rFonts w:ascii="Times New Roman" w:hAnsi="Times New Roman"/>
          <w:sz w:val="28"/>
          <w:szCs w:val="28"/>
          <w:lang w:val="en-US"/>
        </w:rPr>
        <w:t>VIII</w:t>
      </w:r>
      <w:r w:rsidR="00C56FB5" w:rsidRPr="00C56FB5">
        <w:rPr>
          <w:rFonts w:ascii="Times New Roman" w:hAnsi="Times New Roman"/>
          <w:sz w:val="28"/>
          <w:szCs w:val="28"/>
          <w:lang w:val="uk-UA"/>
        </w:rPr>
        <w:t xml:space="preserve"> зі змінами,</w:t>
      </w:r>
      <w:r w:rsidR="00FA3856">
        <w:rPr>
          <w:rFonts w:ascii="Times New Roman" w:hAnsi="Times New Roman"/>
          <w:sz w:val="28"/>
          <w:szCs w:val="28"/>
          <w:lang w:val="uk-UA"/>
        </w:rPr>
        <w:t xml:space="preserve"> розроблена</w:t>
      </w:r>
      <w:r w:rsidR="00C56FB5" w:rsidRPr="00C56FB5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A27F17" w:rsidRPr="00C56FB5">
        <w:rPr>
          <w:rFonts w:ascii="Times New Roman" w:hAnsi="Times New Roman"/>
          <w:sz w:val="28"/>
          <w:szCs w:val="28"/>
          <w:lang w:val="uk-UA"/>
        </w:rPr>
        <w:t xml:space="preserve"> метою виконання господарських функцій органу місцевого самоврядування щодо забезпечення життєдіяльності територіальної громади, якими були обумовлені напрямки діяльності </w:t>
      </w:r>
      <w:r w:rsidR="00F0300D" w:rsidRPr="00C56FB5">
        <w:rPr>
          <w:rFonts w:ascii="Times New Roman" w:hAnsi="Times New Roman"/>
          <w:sz w:val="28"/>
          <w:szCs w:val="28"/>
          <w:lang w:val="uk-UA"/>
        </w:rPr>
        <w:t>КП «Надія»</w:t>
      </w:r>
      <w:r w:rsidR="00A85E5E" w:rsidRPr="00C56FB5">
        <w:rPr>
          <w:rFonts w:ascii="Times New Roman" w:hAnsi="Times New Roman"/>
          <w:sz w:val="28"/>
          <w:szCs w:val="28"/>
          <w:lang w:val="uk-UA"/>
        </w:rPr>
        <w:t>, а саме</w:t>
      </w:r>
      <w:r w:rsidR="00F0300D" w:rsidRPr="00C56F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E5E" w:rsidRPr="00C56FB5">
        <w:rPr>
          <w:rFonts w:ascii="Times New Roman" w:hAnsi="Times New Roman"/>
          <w:sz w:val="28"/>
          <w:szCs w:val="28"/>
          <w:lang w:val="uk-UA"/>
        </w:rPr>
        <w:t>:</w:t>
      </w:r>
    </w:p>
    <w:p w:rsidR="00A72744" w:rsidRPr="00EA0D6E" w:rsidRDefault="00A72744" w:rsidP="00A72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0D6E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підтримка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санітарного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 стану (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прибирання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озеленення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тощо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)  та  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здійснення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інших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заходів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 з благоустрою 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території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загального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/>
          <w:i/>
          <w:sz w:val="28"/>
          <w:szCs w:val="28"/>
        </w:rPr>
        <w:t>користування</w:t>
      </w:r>
      <w:proofErr w:type="spellEnd"/>
      <w:r w:rsidRPr="00EA0D6E">
        <w:rPr>
          <w:rFonts w:ascii="Times New Roman" w:hAnsi="Times New Roman"/>
          <w:i/>
          <w:sz w:val="28"/>
          <w:szCs w:val="28"/>
        </w:rPr>
        <w:t xml:space="preserve">; 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поточного ремонту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технічне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обслуговування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мереж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централізованого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водопостачання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водовідведення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поточного ремонту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технічне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обслуговування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мереж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вуличного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освітлення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>;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поточного ремонту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технічне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обслуговування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мереж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відеоспостереження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якісної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технічної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експлуатації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будівель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споруд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знаходяться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комунальній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власності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громади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інженерних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мереж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технологічного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обладнання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взаємодія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головними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постачальниками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послуг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здійснення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збору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передачі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інформації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електротехнічним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сантехнічним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системам про величину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енергоспоживання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водоспоживання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газоспоживання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>;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господарський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супровід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масових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заходів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громаді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зборів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концертів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святкувань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>);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створення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обслуговування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зон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відпочинку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дитячих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майданчиків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об’єктів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спортивної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інфраструктури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стадіону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спортивних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майданчиків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>);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вивезення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крупних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негабаритних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будівельних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відходів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громади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закріплення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земельних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ділянок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рекреаційної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сфери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соціального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будівництва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громаді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утримання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обслуговування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кладовищ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>;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утримання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обслуговування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транспортних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засобів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знаходяться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балансі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КП;</w:t>
      </w:r>
    </w:p>
    <w:p w:rsidR="00A72744" w:rsidRPr="00EA0D6E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надання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послуг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населенню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централізованого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водопостачання</w:t>
      </w:r>
      <w:proofErr w:type="spellEnd"/>
      <w:r w:rsidR="009D2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proofErr w:type="spellStart"/>
      <w:r w:rsidR="009D2CF5">
        <w:rPr>
          <w:rFonts w:ascii="Times New Roman" w:hAnsi="Times New Roman" w:cs="Times New Roman"/>
          <w:i/>
          <w:sz w:val="28"/>
          <w:szCs w:val="28"/>
          <w:lang w:val="uk-UA"/>
        </w:rPr>
        <w:t>водовідведеня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>;</w:t>
      </w:r>
    </w:p>
    <w:p w:rsidR="00A72744" w:rsidRDefault="00A72744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надання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послуг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населенню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збирання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вивезення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твердих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побутових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відходів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D6E">
        <w:rPr>
          <w:rFonts w:ascii="Times New Roman" w:hAnsi="Times New Roman" w:cs="Times New Roman"/>
          <w:i/>
          <w:sz w:val="28"/>
          <w:szCs w:val="28"/>
        </w:rPr>
        <w:t>громади</w:t>
      </w:r>
      <w:proofErr w:type="spellEnd"/>
      <w:r w:rsidRPr="00EA0D6E">
        <w:rPr>
          <w:rFonts w:ascii="Times New Roman" w:hAnsi="Times New Roman" w:cs="Times New Roman"/>
          <w:i/>
          <w:sz w:val="28"/>
          <w:szCs w:val="28"/>
        </w:rPr>
        <w:t>.</w:t>
      </w:r>
    </w:p>
    <w:p w:rsidR="00EA0D6E" w:rsidRPr="00EA0D6E" w:rsidRDefault="00EA0D6E" w:rsidP="00A7274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78AD" w:rsidRPr="00C84BB8" w:rsidRDefault="00E778AD" w:rsidP="00E778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BB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КП «Надія» основних напрямків господарської </w:t>
      </w:r>
      <w:r w:rsidR="00C84BB8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C84BB8">
        <w:rPr>
          <w:rFonts w:ascii="Times New Roman" w:hAnsi="Times New Roman" w:cs="Times New Roman"/>
          <w:sz w:val="28"/>
          <w:szCs w:val="28"/>
          <w:lang w:val="uk-UA"/>
        </w:rPr>
        <w:t>, не є прибутковою та забезпечу</w:t>
      </w:r>
      <w:r w:rsidR="00C84BB8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Pr="00C84BB8">
        <w:rPr>
          <w:rFonts w:ascii="Times New Roman" w:hAnsi="Times New Roman" w:cs="Times New Roman"/>
          <w:sz w:val="28"/>
          <w:szCs w:val="28"/>
          <w:lang w:val="uk-UA"/>
        </w:rPr>
        <w:t xml:space="preserve">фінансово та матеріально сільською радою шляхом </w:t>
      </w:r>
      <w:r w:rsidR="00C84BB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C84BB8">
        <w:rPr>
          <w:rFonts w:ascii="Times New Roman" w:hAnsi="Times New Roman" w:cs="Times New Roman"/>
          <w:sz w:val="28"/>
          <w:szCs w:val="28"/>
          <w:lang w:val="uk-UA"/>
        </w:rPr>
        <w:t xml:space="preserve"> дотації з місцевого бюджету</w:t>
      </w:r>
      <w:r w:rsidR="00C84BB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затвердженої програми для</w:t>
      </w:r>
      <w:r w:rsidRPr="00C84BB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ефективного та безперебійного функціонування. </w:t>
      </w:r>
    </w:p>
    <w:p w:rsidR="00E778AD" w:rsidRPr="00C84BB8" w:rsidRDefault="00E778AD" w:rsidP="00E778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B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Аналіз додаткових напрямків діяльності КП «Надія» свідчить про те, що дотація на їх виконання є частковою, а збільшення їх обсягів може забезпечити перспективи розвитку КП «Надія»</w:t>
      </w:r>
      <w:r w:rsidR="009D2CF5">
        <w:rPr>
          <w:rFonts w:ascii="Times New Roman" w:hAnsi="Times New Roman" w:cs="Times New Roman"/>
          <w:sz w:val="28"/>
          <w:szCs w:val="28"/>
          <w:lang w:val="uk-UA"/>
        </w:rPr>
        <w:t xml:space="preserve">, покращення матеріально-технічної бази, а саме ремонт водогонів, що приведе до зменшення </w:t>
      </w:r>
      <w:r w:rsidR="00C84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CF5">
        <w:rPr>
          <w:rFonts w:ascii="Times New Roman" w:hAnsi="Times New Roman" w:cs="Times New Roman"/>
          <w:sz w:val="28"/>
          <w:szCs w:val="28"/>
          <w:lang w:val="uk-UA"/>
        </w:rPr>
        <w:t>собівартості за надані послуги та</w:t>
      </w:r>
      <w:r w:rsidRPr="00C84BB8">
        <w:rPr>
          <w:rFonts w:ascii="Times New Roman" w:hAnsi="Times New Roman" w:cs="Times New Roman"/>
          <w:sz w:val="28"/>
          <w:szCs w:val="28"/>
          <w:lang w:val="uk-UA"/>
        </w:rPr>
        <w:t xml:space="preserve"> підвищит</w:t>
      </w:r>
      <w:r w:rsidR="009D2C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4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CF5">
        <w:rPr>
          <w:rFonts w:ascii="Times New Roman" w:hAnsi="Times New Roman" w:cs="Times New Roman"/>
          <w:sz w:val="28"/>
          <w:szCs w:val="28"/>
          <w:lang w:val="uk-UA"/>
        </w:rPr>
        <w:t>доходність та рентабельність.</w:t>
      </w:r>
    </w:p>
    <w:p w:rsidR="00E778AD" w:rsidRPr="009D2CF5" w:rsidRDefault="00E778AD" w:rsidP="00E778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CF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та підтримка виконання послуг КП «Надія» є найбільш ефективним, екологічно та економічно доцільним способом підтримки санітарного стану території громади та має бути пріоритетним та терміновим завданням для </w:t>
      </w:r>
      <w:proofErr w:type="spellStart"/>
      <w:r w:rsidRPr="009D2CF5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Pr="009D2C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9D2CF5" w:rsidRDefault="009D2CF5" w:rsidP="009D2C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CF5">
        <w:rPr>
          <w:rFonts w:ascii="Times New Roman" w:hAnsi="Times New Roman" w:cs="Times New Roman"/>
          <w:sz w:val="28"/>
          <w:szCs w:val="28"/>
          <w:lang w:val="uk-UA"/>
        </w:rPr>
        <w:t>За 2023 рік</w:t>
      </w:r>
      <w:r w:rsidR="00E778AD" w:rsidRPr="009D2CF5">
        <w:rPr>
          <w:rFonts w:ascii="Times New Roman" w:hAnsi="Times New Roman" w:cs="Times New Roman"/>
          <w:sz w:val="28"/>
          <w:szCs w:val="28"/>
        </w:rPr>
        <w:t xml:space="preserve"> </w:t>
      </w:r>
      <w:r w:rsidRPr="009D2CF5">
        <w:rPr>
          <w:rFonts w:ascii="Times New Roman" w:hAnsi="Times New Roman" w:cs="Times New Roman"/>
          <w:sz w:val="28"/>
          <w:szCs w:val="28"/>
          <w:lang w:val="uk-UA"/>
        </w:rPr>
        <w:t>програма виконана на 94,87%. , що складає - 22376,27 тис. грн.</w:t>
      </w:r>
    </w:p>
    <w:p w:rsidR="00CE7AE5" w:rsidRDefault="009D2CF5" w:rsidP="009D2CF5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D2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D6E" w:rsidRPr="009D2CF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72744" w:rsidRPr="009D2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рограма є </w:t>
      </w:r>
      <w:r w:rsidR="00A72744" w:rsidRPr="009D2C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ефективною</w:t>
      </w:r>
      <w:r w:rsidR="00EA0D6E" w:rsidRPr="009D2C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72744" w:rsidRPr="009D2C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доцільною </w:t>
      </w:r>
      <w:r w:rsidRPr="009D2C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для продовження її дії.</w:t>
      </w:r>
    </w:p>
    <w:p w:rsidR="00EB2EEC" w:rsidRDefault="00EB2EEC" w:rsidP="009D2CF5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2EEC" w:rsidRDefault="00EB2EEC" w:rsidP="009D2CF5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2EEC" w:rsidRDefault="00EB2EEC" w:rsidP="009D2CF5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2EEC" w:rsidRDefault="00EB2EEC" w:rsidP="009D2CF5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2EEC" w:rsidRPr="009D2CF5" w:rsidRDefault="00351D9E" w:rsidP="009D2CF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EB2EEC" w:rsidRPr="009D2CF5" w:rsidSect="002373B4">
          <w:pgSz w:w="16840" w:h="11900" w:orient="landscape"/>
          <w:pgMar w:top="993" w:right="709" w:bottom="781" w:left="188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Сільський голова</w:t>
      </w:r>
      <w:r w:rsidR="00EB2E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B2E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B2E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B2E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B2E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B2E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B2E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B2E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B2E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Наталія КРУПИЦЯ</w:t>
      </w:r>
      <w:bookmarkStart w:id="0" w:name="_GoBack"/>
      <w:bookmarkEnd w:id="0"/>
    </w:p>
    <w:p w:rsidR="00E5171F" w:rsidRPr="00E5171F" w:rsidRDefault="00E5171F" w:rsidP="009D2CF5">
      <w:pPr>
        <w:spacing w:after="0" w:line="280" w:lineRule="exact"/>
        <w:ind w:right="24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5171F" w:rsidRPr="00E5171F" w:rsidSect="006B3A11">
      <w:pgSz w:w="16838" w:h="11906" w:orient="landscape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F48A9"/>
    <w:multiLevelType w:val="multilevel"/>
    <w:tmpl w:val="A46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C"/>
    <w:rsid w:val="00042BAB"/>
    <w:rsid w:val="000B2639"/>
    <w:rsid w:val="00125FA2"/>
    <w:rsid w:val="001736AC"/>
    <w:rsid w:val="001835C4"/>
    <w:rsid w:val="001A7BBE"/>
    <w:rsid w:val="001C5877"/>
    <w:rsid w:val="00206A2F"/>
    <w:rsid w:val="002625F2"/>
    <w:rsid w:val="002C5DC8"/>
    <w:rsid w:val="003130C9"/>
    <w:rsid w:val="00326D3B"/>
    <w:rsid w:val="00351D9E"/>
    <w:rsid w:val="003529BE"/>
    <w:rsid w:val="0035596D"/>
    <w:rsid w:val="003A18E1"/>
    <w:rsid w:val="003D58EB"/>
    <w:rsid w:val="003F37B4"/>
    <w:rsid w:val="0056674B"/>
    <w:rsid w:val="00575B8D"/>
    <w:rsid w:val="005B3B0A"/>
    <w:rsid w:val="005C05D9"/>
    <w:rsid w:val="005D3759"/>
    <w:rsid w:val="005F60F7"/>
    <w:rsid w:val="005F7A3D"/>
    <w:rsid w:val="00625A7F"/>
    <w:rsid w:val="00635243"/>
    <w:rsid w:val="006549D7"/>
    <w:rsid w:val="006D3341"/>
    <w:rsid w:val="00720783"/>
    <w:rsid w:val="007218BF"/>
    <w:rsid w:val="00754F56"/>
    <w:rsid w:val="007B1940"/>
    <w:rsid w:val="007F1BE9"/>
    <w:rsid w:val="007F4429"/>
    <w:rsid w:val="0081548B"/>
    <w:rsid w:val="008239D0"/>
    <w:rsid w:val="00851154"/>
    <w:rsid w:val="008D11C7"/>
    <w:rsid w:val="00912C95"/>
    <w:rsid w:val="00946C21"/>
    <w:rsid w:val="00951444"/>
    <w:rsid w:val="009667CA"/>
    <w:rsid w:val="00975D36"/>
    <w:rsid w:val="0098792F"/>
    <w:rsid w:val="009D2CF5"/>
    <w:rsid w:val="009D5266"/>
    <w:rsid w:val="009E5DB0"/>
    <w:rsid w:val="00A27F17"/>
    <w:rsid w:val="00A355BA"/>
    <w:rsid w:val="00A527F6"/>
    <w:rsid w:val="00A54D0A"/>
    <w:rsid w:val="00A72744"/>
    <w:rsid w:val="00A85E5E"/>
    <w:rsid w:val="00AB49CC"/>
    <w:rsid w:val="00AE5356"/>
    <w:rsid w:val="00AF1E1E"/>
    <w:rsid w:val="00B001C8"/>
    <w:rsid w:val="00B25428"/>
    <w:rsid w:val="00C56FB5"/>
    <w:rsid w:val="00C84BB8"/>
    <w:rsid w:val="00CA6762"/>
    <w:rsid w:val="00CB54D6"/>
    <w:rsid w:val="00CE426B"/>
    <w:rsid w:val="00CE7AE5"/>
    <w:rsid w:val="00D32C0A"/>
    <w:rsid w:val="00DF7E19"/>
    <w:rsid w:val="00E05630"/>
    <w:rsid w:val="00E11B0E"/>
    <w:rsid w:val="00E21BB4"/>
    <w:rsid w:val="00E5171F"/>
    <w:rsid w:val="00E61A61"/>
    <w:rsid w:val="00E73A16"/>
    <w:rsid w:val="00E778AD"/>
    <w:rsid w:val="00EA0D6E"/>
    <w:rsid w:val="00EB2EEC"/>
    <w:rsid w:val="00EE325C"/>
    <w:rsid w:val="00EE5A07"/>
    <w:rsid w:val="00F0300D"/>
    <w:rsid w:val="00F137E7"/>
    <w:rsid w:val="00F41404"/>
    <w:rsid w:val="00F542F1"/>
    <w:rsid w:val="00FA3856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27376-4FC4-48E8-9FD1-DC7A10B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;Полужирный"/>
    <w:basedOn w:val="a0"/>
    <w:rsid w:val="001A7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3">
    <w:name w:val="Подпись к таблице"/>
    <w:basedOn w:val="a0"/>
    <w:rsid w:val="001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"/>
    <w:basedOn w:val="a0"/>
    <w:rsid w:val="001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No Spacing"/>
    <w:uiPriority w:val="1"/>
    <w:qFormat/>
    <w:rsid w:val="001A7BB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ocdata">
    <w:name w:val="docdata"/>
    <w:aliases w:val="docy,v5,2236,baiaagaaboqcaaadtgqaaavcbaaaaaaaaaaaaaaaaaaaaaaaaaaaaaaaaaaaaaaaaaaaaaaaaaaaaaaaaaaaaaaaaaaaaaaaaaaaaaaaaaaaaaaaaaaaaaaaaaaaaaaaaaaaaaaaaaaaaaaaaaaaaaaaaaaaaaaaaaaaaaaaaaaaaaaaaaaaaaaaaaaaaaaaaaaaaaaaaaaaaaaaaaaaaaaaaaaaaaaaaaaaaaaa"/>
    <w:basedOn w:val="a"/>
    <w:rsid w:val="001A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A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FBD2-BD2E-468B-B610-323C8652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13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Tatyana</cp:lastModifiedBy>
  <cp:revision>38</cp:revision>
  <cp:lastPrinted>2024-02-14T14:32:00Z</cp:lastPrinted>
  <dcterms:created xsi:type="dcterms:W3CDTF">2023-05-01T07:04:00Z</dcterms:created>
  <dcterms:modified xsi:type="dcterms:W3CDTF">2024-03-19T08:43:00Z</dcterms:modified>
</cp:coreProperties>
</file>