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bookmarkStart w:id="0" w:name="_GoBack"/>
      <w:bookmarkEnd w:id="0"/>
      <w:r w:rsidRPr="007D3A25">
        <w:rPr>
          <w:rFonts w:ascii="Segoe UI" w:eastAsia="Times New Roman" w:hAnsi="Segoe UI" w:cs="Segoe UI"/>
          <w:b/>
          <w:bCs/>
          <w:color w:val="555555"/>
          <w:sz w:val="24"/>
          <w:szCs w:val="24"/>
          <w:lang w:val="ru-RU"/>
        </w:rPr>
        <w:t>У К Р А Ї Н А</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КРИЖАНІВСЬКА</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СІЛЬСЬКА</w:t>
      </w:r>
      <w:r w:rsidRPr="007D3A25">
        <w:rPr>
          <w:rFonts w:ascii="Segoe UI" w:eastAsia="Times New Roman" w:hAnsi="Segoe UI" w:cs="Segoe UI"/>
          <w:b/>
          <w:bCs/>
          <w:color w:val="555555"/>
          <w:sz w:val="24"/>
          <w:szCs w:val="24"/>
        </w:rPr>
        <w:t>  </w:t>
      </w:r>
      <w:r w:rsidRPr="007D3A25">
        <w:rPr>
          <w:rFonts w:ascii="Segoe UI" w:eastAsia="Times New Roman" w:hAnsi="Segoe UI" w:cs="Segoe UI"/>
          <w:b/>
          <w:bCs/>
          <w:color w:val="555555"/>
          <w:sz w:val="24"/>
          <w:szCs w:val="24"/>
          <w:lang w:val="ru-RU"/>
        </w:rPr>
        <w:t xml:space="preserve"> РАДА</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Проект рішення </w:t>
      </w:r>
      <w:r w:rsidRPr="007D3A25">
        <w:rPr>
          <w:rFonts w:ascii="Segoe UI" w:eastAsia="Times New Roman" w:hAnsi="Segoe UI" w:cs="Segoe UI"/>
          <w:color w:val="555555"/>
          <w:sz w:val="24"/>
          <w:szCs w:val="24"/>
        </w:rPr>
        <w:t>XLI</w:t>
      </w:r>
      <w:r w:rsidRPr="007D3A25">
        <w:rPr>
          <w:rFonts w:ascii="Segoe UI" w:eastAsia="Times New Roman" w:hAnsi="Segoe UI" w:cs="Segoe UI"/>
          <w:color w:val="555555"/>
          <w:sz w:val="24"/>
          <w:szCs w:val="24"/>
          <w:lang w:val="ru-RU"/>
        </w:rPr>
        <w:t xml:space="preserve"> сесії Крижанівської сільської ради </w:t>
      </w:r>
      <w:r w:rsidRPr="007D3A25">
        <w:rPr>
          <w:rFonts w:ascii="Segoe UI" w:eastAsia="Times New Roman" w:hAnsi="Segoe UI" w:cs="Segoe UI"/>
          <w:color w:val="555555"/>
          <w:sz w:val="24"/>
          <w:szCs w:val="24"/>
        </w:rPr>
        <w:t>VII</w:t>
      </w:r>
      <w:r w:rsidRPr="007D3A25">
        <w:rPr>
          <w:rFonts w:ascii="Segoe UI" w:eastAsia="Times New Roman" w:hAnsi="Segoe UI" w:cs="Segoe UI"/>
          <w:color w:val="555555"/>
          <w:sz w:val="24"/>
          <w:szCs w:val="24"/>
          <w:lang w:val="ru-RU"/>
        </w:rPr>
        <w:t xml:space="preserve"> скликання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Автор: депутат Спельнік С.В.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Про встановлення податку на майно в частині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податку на нерухоме майно, відмінне від</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земельної ділянки на території Крижанівської сільської ради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та затвердження Положення про нього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Відповідно до статті 69 Бюджетного кодексу України, пункту 10.3 статті 10, відповідно до п.п. 266.5.1 п. 266.5 ст. 266 Податкового кодексу України,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керуючись пунктом 24 частини першої статті 26 статей 59, 63, 69 Закону України «Про місцеве самоврядування в Україні»,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приймаючи до уваги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№909-</w:t>
      </w:r>
      <w:r w:rsidRPr="007D3A25">
        <w:rPr>
          <w:rFonts w:ascii="Segoe UI" w:eastAsia="Times New Roman" w:hAnsi="Segoe UI" w:cs="Segoe UI"/>
          <w:color w:val="555555"/>
          <w:sz w:val="24"/>
          <w:szCs w:val="24"/>
        </w:rPr>
        <w:t>VIII</w:t>
      </w:r>
      <w:r w:rsidRPr="007D3A25">
        <w:rPr>
          <w:rFonts w:ascii="Segoe UI" w:eastAsia="Times New Roman" w:hAnsi="Segoe UI" w:cs="Segoe UI"/>
          <w:color w:val="555555"/>
          <w:sz w:val="24"/>
          <w:szCs w:val="24"/>
          <w:lang w:val="ru-RU"/>
        </w:rPr>
        <w:t xml:space="preserve"> від 24.12.2015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 1791-</w:t>
      </w:r>
      <w:r w:rsidRPr="007D3A25">
        <w:rPr>
          <w:rFonts w:ascii="Segoe UI" w:eastAsia="Times New Roman" w:hAnsi="Segoe UI" w:cs="Segoe UI"/>
          <w:color w:val="555555"/>
          <w:sz w:val="24"/>
          <w:szCs w:val="24"/>
        </w:rPr>
        <w:t>VIII</w:t>
      </w:r>
      <w:r w:rsidRPr="007D3A25">
        <w:rPr>
          <w:rFonts w:ascii="Segoe UI" w:eastAsia="Times New Roman" w:hAnsi="Segoe UI" w:cs="Segoe UI"/>
          <w:color w:val="555555"/>
          <w:sz w:val="24"/>
          <w:szCs w:val="24"/>
          <w:lang w:val="ru-RU"/>
        </w:rPr>
        <w:t xml:space="preserve"> від 20 грудня 2016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№2245-19 від 07.12.2017, з метою поповнення доходної частини бюджету, Крижанівська сільська рада, вирішила:</w:t>
      </w:r>
    </w:p>
    <w:p w:rsidR="006B07AA" w:rsidRPr="007D3A25" w:rsidRDefault="006B07AA" w:rsidP="009B296A">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Встановити на території Крижанівської сільської ради податок на майно в частині податку на нерухоме майно, відмінне від земельної ділянки на 2020 рік.</w:t>
      </w:r>
    </w:p>
    <w:p w:rsidR="006B07AA" w:rsidRPr="007D3A25" w:rsidRDefault="006B07AA" w:rsidP="009B296A">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Затвердити Положення про податок на майно в частині податку на нерухоме майно, відмінне від земельної ділянки (додається).</w:t>
      </w:r>
    </w:p>
    <w:p w:rsidR="006B07AA" w:rsidRPr="007D3A25" w:rsidRDefault="006B07AA" w:rsidP="009B296A">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Вважати таким, що втратило чинність рішення Крижанівської сільської ради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 639-УІІ від 18 квітня 2018 року.</w:t>
      </w:r>
    </w:p>
    <w:p w:rsidR="006B07AA" w:rsidRPr="007D3A25" w:rsidRDefault="006B07AA" w:rsidP="009B296A">
      <w:pPr>
        <w:numPr>
          <w:ilvl w:val="0"/>
          <w:numId w:val="1"/>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Секретарю сільської ради довести це рішення до відома Южненського управління ГУ ДФС в Одеській області та оприлюднити.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5. Це рішення набирає законної сили з моменту його оприлюднення але не раніше 01.01.2020 року.</w:t>
      </w:r>
    </w:p>
    <w:p w:rsidR="006B07AA" w:rsidRPr="007D3A25" w:rsidRDefault="006B07AA" w:rsidP="009B296A">
      <w:pPr>
        <w:numPr>
          <w:ilvl w:val="0"/>
          <w:numId w:val="2"/>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lastRenderedPageBreak/>
        <w:t>Контроль за виконанням цього рішення покласти на постійну комісію з питань прав людини, регламенту, депутатської діяльності, етики, законності та регуляторної політики (Спельнік С.В.)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Додаток</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до </w:t>
      </w:r>
      <w:proofErr w:type="gramStart"/>
      <w:r w:rsidRPr="007D3A25">
        <w:rPr>
          <w:rFonts w:ascii="Segoe UI" w:eastAsia="Times New Roman" w:hAnsi="Segoe UI" w:cs="Segoe UI"/>
          <w:color w:val="555555"/>
          <w:sz w:val="24"/>
          <w:szCs w:val="24"/>
          <w:lang w:val="ru-RU"/>
        </w:rPr>
        <w:t xml:space="preserve">проекту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рішення</w:t>
      </w:r>
      <w:proofErr w:type="gramEnd"/>
      <w:r w:rsidRPr="007D3A25">
        <w:rPr>
          <w:rFonts w:ascii="Segoe UI" w:eastAsia="Times New Roman" w:hAnsi="Segoe UI" w:cs="Segoe UI"/>
          <w:color w:val="555555"/>
          <w:sz w:val="24"/>
          <w:szCs w:val="24"/>
          <w:lang w:val="ru-RU"/>
        </w:rPr>
        <w:t xml:space="preserve"> Крижанівської сільської ради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Положення про податок на майно в частині податку на нерухоме майно, відмінне від земельної ділянки</w:t>
      </w:r>
    </w:p>
    <w:p w:rsidR="006B07AA" w:rsidRPr="007D3A25" w:rsidRDefault="006B07AA" w:rsidP="009B296A">
      <w:pPr>
        <w:numPr>
          <w:ilvl w:val="0"/>
          <w:numId w:val="3"/>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Загальні положення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xml:space="preserve">Податок на нерухоме майно, відмінне від земельної ділянки на території </w:t>
      </w:r>
      <w:proofErr w:type="gramStart"/>
      <w:r w:rsidRPr="007D3A25">
        <w:rPr>
          <w:rFonts w:ascii="Segoe UI" w:eastAsia="Times New Roman" w:hAnsi="Segoe UI" w:cs="Segoe UI"/>
          <w:color w:val="555555"/>
          <w:sz w:val="24"/>
          <w:szCs w:val="24"/>
        </w:rPr>
        <w:t>Крижанівської  сільської</w:t>
      </w:r>
      <w:proofErr w:type="gramEnd"/>
      <w:r w:rsidRPr="007D3A25">
        <w:rPr>
          <w:rFonts w:ascii="Segoe UI" w:eastAsia="Times New Roman" w:hAnsi="Segoe UI" w:cs="Segoe UI"/>
          <w:color w:val="555555"/>
          <w:sz w:val="24"/>
          <w:szCs w:val="24"/>
        </w:rPr>
        <w:t xml:space="preserve"> ради Лиманського району Одеської області встановлюється на підставі  ст. 266 Податкового кодексу Україні та  ст. 26 Закону України «Про місцеве самоврядування в Україні», ст. 69 Бюджетного кодексу України.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Основні поняття: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об’єкти житлової нерухомості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будівлі, віднесені відповідно до законодавства до житлового фонду, дачні та садові будинки;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Будівлі, віднесені до житлового фонду, поділяються на такі типи: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житловий будинок</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прибудова до житлового будинку</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квартира</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ізольоване помешкання в житловому будинку, призначене та придатне для постійного у ньому проживання;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г)</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котедж</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одно -, півтораповерховий будинок невеликої житлової площі для постійного чи тимчасового проживання з присадибною ділянкою;</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ґ)</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кімнати у багатосімейних (комунальних) квартирах</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ізольовані помешкання в квартирі, в якій мешкають двоє чи більше квартиронаймачів;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д)</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садовий будинок</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е)</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дачний будинок</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житловий будинок для використання протягом року з метою позаміського відпочинку;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об’єкти нежитлової нерухомості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будівлі, приміщення, що не віднесені відповідно до законодавства до житлового фонду. У нежитловій нерухомості виділяють:</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будівлі готельні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готелі, мотелі, кемпінги, пансіонати, ресторани та бари, туристичні бази, гірські притулки, табори для відпочинку, будинки відпочинку;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будівлі офісні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будівлі фінансового обслуговування, адміністративно-побутові будівлі, будівлі для конторських та адміністративних цілей;</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будівлі торгівельні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торгові центри, універмаги, магазини, криті ринки, павільйони та зали для ярмарків, авто заправні станції,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г)</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гаражі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гаражі (наземні й підземні) та криті автомобільні стоянки;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ґ)</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будівлі промислові та склади;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будівлі для публічних виступів</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(казино, ігорні будинки тощо);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е)</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господарські (присадибні) будівлі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є)</w:t>
      </w:r>
      <w:r w:rsidRPr="007D3A25">
        <w:rPr>
          <w:rFonts w:ascii="Segoe UI" w:eastAsia="Times New Roman" w:hAnsi="Segoe UI" w:cs="Segoe UI"/>
          <w:color w:val="555555"/>
          <w:sz w:val="24"/>
          <w:szCs w:val="24"/>
        </w:rPr>
        <w:t> </w:t>
      </w:r>
      <w:r w:rsidRPr="007D3A25">
        <w:rPr>
          <w:rFonts w:ascii="Segoe UI" w:eastAsia="Times New Roman" w:hAnsi="Segoe UI" w:cs="Segoe UI"/>
          <w:b/>
          <w:bCs/>
          <w:i/>
          <w:iCs/>
          <w:color w:val="555555"/>
          <w:sz w:val="24"/>
          <w:szCs w:val="24"/>
          <w:lang w:val="ru-RU"/>
        </w:rPr>
        <w:t>садиби (в тому числі центральні)</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адміністративно-громадські, виробничо-господарські та житлові будівлі, господарства тощо, зосереджені в одному місці;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ж) </w:t>
      </w:r>
      <w:r w:rsidRPr="007D3A25">
        <w:rPr>
          <w:rFonts w:ascii="Segoe UI" w:eastAsia="Times New Roman" w:hAnsi="Segoe UI" w:cs="Segoe UI"/>
          <w:b/>
          <w:bCs/>
          <w:i/>
          <w:iCs/>
          <w:color w:val="555555"/>
          <w:sz w:val="24"/>
          <w:szCs w:val="24"/>
        </w:rPr>
        <w:t>інші будівлі.</w:t>
      </w:r>
    </w:p>
    <w:p w:rsidR="006B07AA" w:rsidRPr="007D3A25" w:rsidRDefault="006B07AA" w:rsidP="009B296A">
      <w:pPr>
        <w:numPr>
          <w:ilvl w:val="0"/>
          <w:numId w:val="4"/>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Платники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2.1. Платниками податку є фізичні та юридичні особи, в тому числі нерезиденти, які є власниками об’єктів житлової та нежитлової нерухомості.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B07AA" w:rsidRPr="007D3A25" w:rsidRDefault="006B07AA" w:rsidP="009B296A">
      <w:pPr>
        <w:numPr>
          <w:ilvl w:val="0"/>
          <w:numId w:val="5"/>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Об’єкт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3.1. Об’єктом оподаткування є об’єкт житлової та нежитлової нерухомості, в тому числі його частка.</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3.2. Не є об’єктом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 будівлі дитячих будинків сімейного типу;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г) гуртожитки;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w:t>
      </w:r>
      <w:proofErr w:type="gramStart"/>
      <w:r w:rsidRPr="007D3A25">
        <w:rPr>
          <w:rFonts w:ascii="Segoe UI" w:eastAsia="Times New Roman" w:hAnsi="Segoe UI" w:cs="Segoe UI"/>
          <w:color w:val="555555"/>
          <w:sz w:val="24"/>
          <w:szCs w:val="24"/>
          <w:lang w:val="ru-RU"/>
        </w:rPr>
        <w:t>до закону</w:t>
      </w:r>
      <w:proofErr w:type="gramEnd"/>
      <w:r w:rsidRPr="007D3A25">
        <w:rPr>
          <w:rFonts w:ascii="Segoe UI" w:eastAsia="Times New Roman" w:hAnsi="Segoe UI" w:cs="Segoe UI"/>
          <w:color w:val="555555"/>
          <w:sz w:val="24"/>
          <w:szCs w:val="24"/>
          <w:lang w:val="ru-RU"/>
        </w:rPr>
        <w:t>, дітям-інвалідам, які виховуються одинокими матерями (батьками), але не більше одного такого об’єкта на дитину;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є) будівлі промисловості, зокрема виробничі корпуси, цехи, складські приміщення промислових підприємств;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з) об’єкти житлової та нежитлової нерухомості, які перебувають у власності громадських організацій інвалідів та їх підприємств;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w:t>
      </w:r>
      <w:r w:rsidRPr="007D3A25">
        <w:rPr>
          <w:rFonts w:ascii="Segoe UI" w:eastAsia="Times New Roman" w:hAnsi="Segoe UI" w:cs="Segoe UI"/>
          <w:color w:val="555555"/>
          <w:sz w:val="24"/>
          <w:szCs w:val="24"/>
          <w:lang w:val="ru-RU"/>
        </w:rPr>
        <w:lastRenderedPageBreak/>
        <w:t>добродійні заклади (притулки, інтернати, лікарні тощо), крім об’єктів нерухомості, в яких здійснюється виробнича та/або господарська діяльність;</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л) об’єкти житлової нерухомості, які належать багатодітним або прийомним сім’ям, у яких виховується п’ять та більше дітей.</w:t>
      </w:r>
    </w:p>
    <w:p w:rsidR="006B07AA" w:rsidRPr="007D3A25" w:rsidRDefault="006B07AA" w:rsidP="009B296A">
      <w:pPr>
        <w:numPr>
          <w:ilvl w:val="0"/>
          <w:numId w:val="6"/>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База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4.1. Базою оподаткування є загальна площа об’єкта житлової та нежитлової нерухомості, в тому числі його часток.</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4.3. База оподаткування об’єктів житлової та нежитлової нерухомості, в тому числі їх часток, які перебувають у власності юридичних осіб, обчислюються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B07AA" w:rsidRPr="007D3A25" w:rsidRDefault="006B07AA" w:rsidP="009B296A">
      <w:pPr>
        <w:numPr>
          <w:ilvl w:val="0"/>
          <w:numId w:val="7"/>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Пільги із сплати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 для квартири/квартир незалежно від їх кількості – на 60 кв. метрів;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 для житлового будинку/будинків незалежно від їх кількості – на 120 кв. метрів;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 для різних видів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Таке зменшення надається один раз за кожний базовий податковий (звітний) період (рік).</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5.2. Встановити на території Крижанівської сільської ради пільги щодо податку на майно в частині податку на нерухоме майно, відмінне від земельної ділянки, звільнивши від його сплати фізичних осіб, які є власниками об’єктів нежитлової нерухомості та не використовують ці приміщення у комерційних цілях, щодо господарських (присадибних) будівель (крім центральних садиб) – допоміжні (нежитлові) приміщення, до яких належать сараї, гаражі, хліви, вбиральні, літні кухні, погреби, навіси, котельні, бойлерні.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Встановити пільги з податку, що сплачується на території Крижанівської сільської ради, з об’єктів житлової та/або нежитлової нерухомості, у вигляді звільнення від сплати податку для: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ветеранів Великої Вітчизняної війни;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інвалідів Великої Вітчизняної війни;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осіб, на яких поширюється дія</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Закону України “Про статус ветеранів війни, гарантії їх соціального захисту” (відповідно до ст. ст. 6,7,9,10), в тому числі учасники АТО;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дітей війни,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осіб що мають статус багатодітних батьків або статус малозабезпеченої родини (за наявності відповідних документів);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інваліди 1 та 2 групи, які отримують пенсію по інвалідності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осіб, віднесених до 1 та 2 категорії, що постраждали внаслідок Чорнобильської катастрофи (п. 1,2 ст.14 Закону України «Про статус і соціальний захист громадян, які постраждали внаслідок Чорнобильської катастрофи»);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осіб, що досягли пенсійного віку.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Пільги з податку, що сплачується на відповідній території з об’єктів житлової нерухомості, для фізичних осіб не надаються на:</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Відомості стосовно пільг, встановлених Крижанівською сільською радою з оплати податку, подаються до відповідного контролюючого органу (Южненського управління ГУ ДФС в Одеській області та оприлюднити.).</w:t>
      </w:r>
    </w:p>
    <w:p w:rsidR="006B07AA" w:rsidRPr="007D3A25" w:rsidRDefault="006B07AA" w:rsidP="009B296A">
      <w:pPr>
        <w:numPr>
          <w:ilvl w:val="0"/>
          <w:numId w:val="8"/>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Ставка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6.1. Ставки податку для об’єктів житлової та/або нежитлової нерухомості, що перебувають у власності фізичних осіб, юридичних осіб та фізичних осіб-підприємців, встановлюються у наступному розмірі: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xml:space="preserve">– для об’єктів житлової нерухомості (крім центральних садиб), що перебувають у власності </w:t>
      </w:r>
      <w:proofErr w:type="gramStart"/>
      <w:r w:rsidRPr="007D3A25">
        <w:rPr>
          <w:rFonts w:ascii="Segoe UI" w:eastAsia="Times New Roman" w:hAnsi="Segoe UI" w:cs="Segoe UI"/>
          <w:color w:val="555555"/>
          <w:sz w:val="24"/>
          <w:szCs w:val="24"/>
        </w:rPr>
        <w:t>фізичних,  юридичних</w:t>
      </w:r>
      <w:proofErr w:type="gramEnd"/>
      <w:r w:rsidRPr="007D3A25">
        <w:rPr>
          <w:rFonts w:ascii="Segoe UI" w:eastAsia="Times New Roman" w:hAnsi="Segoe UI" w:cs="Segoe UI"/>
          <w:color w:val="555555"/>
          <w:sz w:val="24"/>
          <w:szCs w:val="24"/>
        </w:rPr>
        <w:t xml:space="preserve"> осіб та фізичних осіб-підприємців – 1 відсоток розміру мінімальної заробітної плати, встановленої законом на 1 січня звітного (податкового) року за 1м</w:t>
      </w:r>
      <w:r w:rsidRPr="007D3A25">
        <w:rPr>
          <w:rFonts w:ascii="Segoe UI" w:eastAsia="Times New Roman" w:hAnsi="Segoe UI" w:cs="Segoe UI"/>
          <w:color w:val="555555"/>
          <w:sz w:val="18"/>
          <w:szCs w:val="18"/>
          <w:vertAlign w:val="superscript"/>
        </w:rPr>
        <w:t>2</w:t>
      </w:r>
      <w:r w:rsidRPr="007D3A25">
        <w:rPr>
          <w:rFonts w:ascii="Segoe UI" w:eastAsia="Times New Roman" w:hAnsi="Segoe UI" w:cs="Segoe UI"/>
          <w:color w:val="555555"/>
          <w:sz w:val="24"/>
          <w:szCs w:val="24"/>
        </w:rPr>
        <w:t> 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xml:space="preserve">– для об’єктів нежитлової нерухомості, що перебувають у власності </w:t>
      </w:r>
      <w:proofErr w:type="gramStart"/>
      <w:r w:rsidRPr="007D3A25">
        <w:rPr>
          <w:rFonts w:ascii="Segoe UI" w:eastAsia="Times New Roman" w:hAnsi="Segoe UI" w:cs="Segoe UI"/>
          <w:color w:val="555555"/>
          <w:sz w:val="24"/>
          <w:szCs w:val="24"/>
        </w:rPr>
        <w:t>фізичних,  юридичних</w:t>
      </w:r>
      <w:proofErr w:type="gramEnd"/>
      <w:r w:rsidRPr="007D3A25">
        <w:rPr>
          <w:rFonts w:ascii="Segoe UI" w:eastAsia="Times New Roman" w:hAnsi="Segoe UI" w:cs="Segoe UI"/>
          <w:color w:val="555555"/>
          <w:sz w:val="24"/>
          <w:szCs w:val="24"/>
        </w:rPr>
        <w:t xml:space="preserve"> осіб та фізичних осіб-підприємців: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а) будівлі готельні-готелі, мотелі, кемпінги, пансіонати, ресторани та бари, туристичні бази, табори для відпочинку, бази відпочинку, будинки відпочинку – 1,5 відсотка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rPr>
        <w:t>2</w:t>
      </w:r>
      <w:r w:rsidRPr="007D3A25">
        <w:rPr>
          <w:rFonts w:ascii="Segoe UI" w:eastAsia="Times New Roman" w:hAnsi="Segoe UI" w:cs="Segoe UI"/>
          <w:color w:val="555555"/>
          <w:sz w:val="24"/>
          <w:szCs w:val="24"/>
        </w:rPr>
        <w:t> 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б) будівлі офісні – адміністративно-побутові будівлі, будівлі для конторських та адміністративних цілей – 1 відсоток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rPr>
        <w:t>2</w:t>
      </w:r>
      <w:r w:rsidRPr="007D3A25">
        <w:rPr>
          <w:rFonts w:ascii="Segoe UI" w:eastAsia="Times New Roman" w:hAnsi="Segoe UI" w:cs="Segoe UI"/>
          <w:color w:val="555555"/>
          <w:sz w:val="24"/>
          <w:szCs w:val="24"/>
        </w:rPr>
        <w:t> 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в) будівлі торговельні – магазини,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1,5 відсотка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rPr>
        <w:t>2</w:t>
      </w:r>
      <w:r w:rsidRPr="007D3A25">
        <w:rPr>
          <w:rFonts w:ascii="Segoe UI" w:eastAsia="Times New Roman" w:hAnsi="Segoe UI" w:cs="Segoe UI"/>
          <w:color w:val="555555"/>
          <w:sz w:val="24"/>
          <w:szCs w:val="24"/>
        </w:rPr>
        <w:t> 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lastRenderedPageBreak/>
        <w:t>г) гаражі (наземні й підземні) та криті автомобільні стоянки – 1,5 відсотка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rPr>
        <w:t>2</w:t>
      </w:r>
      <w:r w:rsidRPr="007D3A25">
        <w:rPr>
          <w:rFonts w:ascii="Segoe UI" w:eastAsia="Times New Roman" w:hAnsi="Segoe UI" w:cs="Segoe UI"/>
          <w:color w:val="555555"/>
          <w:sz w:val="24"/>
          <w:szCs w:val="24"/>
        </w:rPr>
        <w:t> 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ґ) садиби (в тому числі центральні) – 1,5 відсотка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lang w:val="ru-RU"/>
        </w:rPr>
        <w:t>2</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бази оподаткування;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 інші будівлі – 1 відсоток розміру мінімальної заробітної плати, встановленої законом на 1 січня звітного (податкового) року за 1 м</w:t>
      </w:r>
      <w:r w:rsidRPr="007D3A25">
        <w:rPr>
          <w:rFonts w:ascii="Segoe UI" w:eastAsia="Times New Roman" w:hAnsi="Segoe UI" w:cs="Segoe UI"/>
          <w:color w:val="555555"/>
          <w:sz w:val="18"/>
          <w:szCs w:val="18"/>
          <w:vertAlign w:val="superscript"/>
          <w:lang w:val="ru-RU"/>
        </w:rPr>
        <w:t>2</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бази оподаткування.</w:t>
      </w:r>
    </w:p>
    <w:p w:rsidR="006B07AA" w:rsidRPr="007D3A25" w:rsidRDefault="006B07AA" w:rsidP="009B296A">
      <w:pPr>
        <w:numPr>
          <w:ilvl w:val="0"/>
          <w:numId w:val="9"/>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Податковий період</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7.1. Базовий податковий (звітний) період дорівнює календарному року.</w:t>
      </w:r>
    </w:p>
    <w:p w:rsidR="006B07AA" w:rsidRPr="007D3A25" w:rsidRDefault="006B07AA" w:rsidP="009B296A">
      <w:pPr>
        <w:numPr>
          <w:ilvl w:val="0"/>
          <w:numId w:val="10"/>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Порядок обчислення суми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5.1 статті 5 Положення та відповідної ставки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5.1. статті 5 Положення та відповідної ставки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5.1. статті 5 Положення та відповідної ставки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w:t>
      </w:r>
      <w:r w:rsidRPr="007D3A25">
        <w:rPr>
          <w:rFonts w:ascii="Segoe UI" w:eastAsia="Times New Roman" w:hAnsi="Segoe UI" w:cs="Segoe UI"/>
          <w:color w:val="555555"/>
          <w:sz w:val="24"/>
          <w:szCs w:val="24"/>
          <w:lang w:val="ru-RU"/>
        </w:rPr>
        <w:lastRenderedPageBreak/>
        <w:t>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8.2. Податкове/податкові повідомлення-рішення про сплату суми/сум податку, обчисленого згідно з підпунктом 8.1. статті 8 Положення, та відповідні платіжні </w:t>
      </w:r>
      <w:proofErr w:type="gramStart"/>
      <w:r w:rsidRPr="007D3A25">
        <w:rPr>
          <w:rFonts w:ascii="Segoe UI" w:eastAsia="Times New Roman" w:hAnsi="Segoe UI" w:cs="Segoe UI"/>
          <w:color w:val="555555"/>
          <w:sz w:val="24"/>
          <w:szCs w:val="24"/>
          <w:lang w:val="ru-RU"/>
        </w:rPr>
        <w:t>реквізити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Крижанівської</w:t>
      </w:r>
      <w:proofErr w:type="gramEnd"/>
      <w:r w:rsidRPr="007D3A25">
        <w:rPr>
          <w:rFonts w:ascii="Segoe UI" w:eastAsia="Times New Roman" w:hAnsi="Segoe UI" w:cs="Segoe UI"/>
          <w:color w:val="555555"/>
          <w:sz w:val="24"/>
          <w:szCs w:val="24"/>
          <w:lang w:val="ru-RU"/>
        </w:rPr>
        <w:t xml:space="preserve"> сільської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w:t>
      </w:r>
      <w:proofErr w:type="gramStart"/>
      <w:r w:rsidRPr="007D3A25">
        <w:rPr>
          <w:rFonts w:ascii="Segoe UI" w:eastAsia="Times New Roman" w:hAnsi="Segoe UI" w:cs="Segoe UI"/>
          <w:color w:val="555555"/>
          <w:sz w:val="24"/>
          <w:szCs w:val="24"/>
          <w:lang w:val="ru-RU"/>
        </w:rPr>
        <w:t>у порядку</w:t>
      </w:r>
      <w:proofErr w:type="gramEnd"/>
      <w:r w:rsidRPr="007D3A25">
        <w:rPr>
          <w:rFonts w:ascii="Segoe UI" w:eastAsia="Times New Roman" w:hAnsi="Segoe UI" w:cs="Segoe UI"/>
          <w:color w:val="555555"/>
          <w:sz w:val="24"/>
          <w:szCs w:val="24"/>
          <w:lang w:val="ru-RU"/>
        </w:rPr>
        <w:t>, встановленому центральним органом виконавчої влади, що забезпечує формування та реалізує державну податкову і митну політику.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об’єктів житлової та/або нежитлової нерухомості, в тому числі їх часток, що перебувають у власності платника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розміру загальної площі об’єктів житлової та/або нежитлової нерухомості, що перебувають у власності платника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права на користування пільгою із сплати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розміру ставки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нарахованої суми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 xml:space="preserve">8.4. Платники податку – юридичні особи самостійно обчислюють суму податку станом на 1 січня звітного року і до 20 лютого цього ж року подають до контролюючому органу за місцезнаходженням об’єкта/об’єктів оподаткування декларацію за формою, встановленою </w:t>
      </w:r>
      <w:proofErr w:type="gramStart"/>
      <w:r w:rsidRPr="007D3A25">
        <w:rPr>
          <w:rFonts w:ascii="Segoe UI" w:eastAsia="Times New Roman" w:hAnsi="Segoe UI" w:cs="Segoe UI"/>
          <w:color w:val="555555"/>
          <w:sz w:val="24"/>
          <w:szCs w:val="24"/>
          <w:lang w:val="ru-RU"/>
        </w:rPr>
        <w:t>у порядку</w:t>
      </w:r>
      <w:proofErr w:type="gramEnd"/>
      <w:r w:rsidRPr="007D3A25">
        <w:rPr>
          <w:rFonts w:ascii="Segoe UI" w:eastAsia="Times New Roman" w:hAnsi="Segoe UI" w:cs="Segoe UI"/>
          <w:color w:val="555555"/>
          <w:sz w:val="24"/>
          <w:szCs w:val="24"/>
          <w:lang w:val="ru-RU"/>
        </w:rPr>
        <w:t>, передбаченому статтею 46 Податкового Кодексу України, з розбивкою річної суми рівними частками поквартально.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8.5.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8.6.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w:t>
      </w:r>
      <w:proofErr w:type="gramStart"/>
      <w:r w:rsidRPr="007D3A25">
        <w:rPr>
          <w:rFonts w:ascii="Segoe UI" w:eastAsia="Times New Roman" w:hAnsi="Segoe UI" w:cs="Segoe UI"/>
          <w:color w:val="555555"/>
          <w:sz w:val="24"/>
          <w:szCs w:val="24"/>
          <w:lang w:val="ru-RU"/>
        </w:rPr>
        <w:t>до початку</w:t>
      </w:r>
      <w:proofErr w:type="gramEnd"/>
      <w:r w:rsidRPr="007D3A25">
        <w:rPr>
          <w:rFonts w:ascii="Segoe UI" w:eastAsia="Times New Roman" w:hAnsi="Segoe UI" w:cs="Segoe UI"/>
          <w:color w:val="555555"/>
          <w:sz w:val="24"/>
          <w:szCs w:val="24"/>
          <w:lang w:val="ru-RU"/>
        </w:rPr>
        <w:t xml:space="preserve">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Контролюючий орган надсилає податкове повідомлення-рішення новому власнику після отримання інформації про перехід права власності.</w:t>
      </w:r>
    </w:p>
    <w:p w:rsidR="006B07AA" w:rsidRPr="007D3A25" w:rsidRDefault="006B07AA" w:rsidP="009B296A">
      <w:pPr>
        <w:numPr>
          <w:ilvl w:val="0"/>
          <w:numId w:val="11"/>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Порядок сплати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9.1. Податок сплачується за місцем розташування об’єкта/об’єктів оподаткування і зараховується до бюджету Крижанівської сільської ради згідно з положеннями Бюджетного кодексу України.</w:t>
      </w:r>
    </w:p>
    <w:p w:rsidR="006B07AA" w:rsidRPr="007D3A25" w:rsidRDefault="006B07AA" w:rsidP="009B296A">
      <w:pPr>
        <w:numPr>
          <w:ilvl w:val="0"/>
          <w:numId w:val="12"/>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Строки сплати податку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10.1. Податкове зобов’язання за звітний рік з податку сплачується: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 фізичними особами – протягом 60 днів з дня вручення податкового повідомлення-рішення;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B07AA" w:rsidRPr="007D3A25" w:rsidRDefault="006B07AA" w:rsidP="009B296A">
      <w:pPr>
        <w:numPr>
          <w:ilvl w:val="0"/>
          <w:numId w:val="13"/>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Відповідальність</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11.</w:t>
      </w:r>
      <w:proofErr w:type="gramStart"/>
      <w:r w:rsidRPr="007D3A25">
        <w:rPr>
          <w:rFonts w:ascii="Segoe UI" w:eastAsia="Times New Roman" w:hAnsi="Segoe UI" w:cs="Segoe UI"/>
          <w:color w:val="555555"/>
          <w:sz w:val="24"/>
          <w:szCs w:val="24"/>
          <w:lang w:val="ru-RU"/>
        </w:rPr>
        <w:t>1.Платники</w:t>
      </w:r>
      <w:proofErr w:type="gramEnd"/>
      <w:r w:rsidRPr="007D3A25">
        <w:rPr>
          <w:rFonts w:ascii="Segoe UI" w:eastAsia="Times New Roman" w:hAnsi="Segoe UI" w:cs="Segoe UI"/>
          <w:color w:val="555555"/>
          <w:sz w:val="24"/>
          <w:szCs w:val="24"/>
          <w:lang w:val="ru-RU"/>
        </w:rPr>
        <w:t xml:space="preserve"> податку на нерухоме майно, відмінне від земельної ділянки несуть відповідальність за порушення податкового законодавства згідно з вимогами Податкового кодексу України.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i/>
          <w:iCs/>
          <w:color w:val="555555"/>
          <w:sz w:val="24"/>
          <w:szCs w:val="24"/>
          <w:lang w:val="ru-RU"/>
        </w:rPr>
        <w:t>Аналіз регуляторного</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впливу проекту</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рішення</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сільської</w:t>
      </w:r>
      <w:r w:rsidRPr="007D3A25">
        <w:rPr>
          <w:rFonts w:ascii="Segoe UI" w:eastAsia="Times New Roman" w:hAnsi="Segoe UI" w:cs="Segoe UI"/>
          <w:b/>
          <w:bCs/>
          <w:i/>
          <w:iCs/>
          <w:color w:val="555555"/>
          <w:sz w:val="24"/>
          <w:szCs w:val="24"/>
        </w:rPr>
        <w:t> </w:t>
      </w:r>
      <w:r w:rsidRPr="007D3A25">
        <w:rPr>
          <w:rFonts w:ascii="Segoe UI" w:eastAsia="Times New Roman" w:hAnsi="Segoe UI" w:cs="Segoe UI"/>
          <w:b/>
          <w:bCs/>
          <w:i/>
          <w:iCs/>
          <w:color w:val="555555"/>
          <w:sz w:val="24"/>
          <w:szCs w:val="24"/>
          <w:lang w:val="ru-RU"/>
        </w:rPr>
        <w:t>ради</w:t>
      </w:r>
      <w:r w:rsidRPr="007D3A25">
        <w:rPr>
          <w:rFonts w:ascii="Segoe UI" w:eastAsia="Times New Roman" w:hAnsi="Segoe UI" w:cs="Segoe UI"/>
          <w:b/>
          <w:bCs/>
          <w:i/>
          <w:iCs/>
          <w:color w:val="555555"/>
          <w:sz w:val="24"/>
          <w:szCs w:val="24"/>
          <w:lang w:val="ru-RU"/>
        </w:rPr>
        <w:br/>
        <w:t>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lang w:val="ru-RU"/>
        </w:rPr>
        <w:lastRenderedPageBreak/>
        <w:t xml:space="preserve">Аналіз регуляторного впливу проекту рішення сільської ради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w:t>
      </w:r>
      <w:r w:rsidRPr="007D3A25">
        <w:rPr>
          <w:rFonts w:ascii="Segoe UI" w:eastAsia="Times New Roman" w:hAnsi="Segoe UI" w:cs="Segoe UI"/>
          <w:color w:val="555555"/>
          <w:sz w:val="24"/>
          <w:szCs w:val="24"/>
        </w:rPr>
        <w:t>Кабінету Міністрів України від 11.03.04 №308.</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rPr>
      </w:pPr>
      <w:r w:rsidRPr="007D3A25">
        <w:rPr>
          <w:rFonts w:ascii="Segoe UI" w:eastAsia="Times New Roman" w:hAnsi="Segoe UI" w:cs="Segoe UI"/>
          <w:color w:val="555555"/>
          <w:sz w:val="24"/>
          <w:szCs w:val="24"/>
        </w:rPr>
        <w:t> </w:t>
      </w:r>
    </w:p>
    <w:p w:rsidR="006B07AA" w:rsidRPr="007D3A25" w:rsidRDefault="006B07AA" w:rsidP="009B296A">
      <w:pPr>
        <w:numPr>
          <w:ilvl w:val="0"/>
          <w:numId w:val="14"/>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b/>
          <w:bCs/>
          <w:color w:val="555555"/>
          <w:sz w:val="21"/>
          <w:szCs w:val="21"/>
          <w:lang w:val="ru-RU"/>
        </w:rPr>
        <w:t>Визначення</w:t>
      </w:r>
      <w:r w:rsidRPr="007D3A25">
        <w:rPr>
          <w:rFonts w:ascii="Segoe UI" w:eastAsia="Times New Roman" w:hAnsi="Segoe UI" w:cs="Segoe UI"/>
          <w:b/>
          <w:bCs/>
          <w:color w:val="555555"/>
          <w:sz w:val="21"/>
          <w:szCs w:val="21"/>
        </w:rPr>
        <w:t> </w:t>
      </w:r>
      <w:r w:rsidRPr="007D3A25">
        <w:rPr>
          <w:rFonts w:ascii="Segoe UI" w:eastAsia="Times New Roman" w:hAnsi="Segoe UI" w:cs="Segoe UI"/>
          <w:b/>
          <w:bCs/>
          <w:color w:val="555555"/>
          <w:sz w:val="21"/>
          <w:szCs w:val="21"/>
          <w:lang w:val="ru-RU"/>
        </w:rPr>
        <w:t>та аналіз проблеми, яку пропонується розв’язати шляхом регулювання господарських відносин.</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В зв’язку з цим та з метою визначити джерела наповнення сільського бюджету розроблено та виноситься на затвердження черговою сесією сільської </w:t>
      </w:r>
      <w:proofErr w:type="gramStart"/>
      <w:r w:rsidRPr="007D3A25">
        <w:rPr>
          <w:rFonts w:ascii="Segoe UI" w:eastAsia="Times New Roman" w:hAnsi="Segoe UI" w:cs="Segoe UI"/>
          <w:color w:val="555555"/>
          <w:sz w:val="24"/>
          <w:szCs w:val="24"/>
          <w:lang w:val="ru-RU"/>
        </w:rPr>
        <w:t>ради проект</w:t>
      </w:r>
      <w:proofErr w:type="gramEnd"/>
      <w:r w:rsidRPr="007D3A25">
        <w:rPr>
          <w:rFonts w:ascii="Segoe UI" w:eastAsia="Times New Roman" w:hAnsi="Segoe UI" w:cs="Segoe UI"/>
          <w:color w:val="555555"/>
          <w:sz w:val="24"/>
          <w:szCs w:val="24"/>
          <w:lang w:val="ru-RU"/>
        </w:rPr>
        <w:t xml:space="preserve"> рішення та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Положення про податок на нерухоме майно, відмінне від земельної ділянки розроблено на підставі податкового кодексу України, Закону України «Про місцеве самоврядування в Україні» та Бюджетного кодексу України.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Податок на нерухоме майно, відмінне від земельної</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ділянки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є складовою</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податку на майно</w:t>
      </w:r>
      <w:r w:rsidRPr="007D3A25">
        <w:rPr>
          <w:rFonts w:ascii="Segoe UI" w:eastAsia="Times New Roman" w:hAnsi="Segoe UI" w:cs="Segoe UI"/>
          <w:b/>
          <w:bCs/>
          <w:color w:val="555555"/>
          <w:sz w:val="24"/>
          <w:szCs w:val="24"/>
        </w:rPr>
        <w:t> </w:t>
      </w:r>
      <w:r w:rsidRPr="007D3A25">
        <w:rPr>
          <w:rFonts w:ascii="Segoe UI" w:eastAsia="Times New Roman" w:hAnsi="Segoe UI" w:cs="Segoe UI"/>
          <w:color w:val="555555"/>
          <w:sz w:val="24"/>
          <w:szCs w:val="24"/>
          <w:lang w:val="ru-RU"/>
        </w:rPr>
        <w:t>та має об’єктом оподаткування житлову і нежитлову нерухомість та їх частки.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Даним проектом рішення пропонується затвердити рішення сільської ради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з додатками до цього рішення.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Таким чином з 01.01.2020 року сплата місцевих податків та зборів повинна здійснюватися відповідно до рішення сільської ради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яке </w:t>
      </w:r>
      <w:r w:rsidRPr="007D3A25">
        <w:rPr>
          <w:rFonts w:ascii="Segoe UI" w:eastAsia="Times New Roman" w:hAnsi="Segoe UI" w:cs="Segoe UI"/>
          <w:color w:val="555555"/>
          <w:sz w:val="24"/>
          <w:szCs w:val="24"/>
          <w:lang w:val="ru-RU"/>
        </w:rPr>
        <w:lastRenderedPageBreak/>
        <w:t>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6B07AA" w:rsidRPr="007D3A25" w:rsidRDefault="006B07AA" w:rsidP="009B296A">
      <w:pPr>
        <w:numPr>
          <w:ilvl w:val="0"/>
          <w:numId w:val="15"/>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b/>
          <w:bCs/>
          <w:color w:val="555555"/>
          <w:sz w:val="21"/>
          <w:szCs w:val="21"/>
        </w:rPr>
        <w:t>Цілі регулювання.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Основними цілями прийняття пропонованого регуляторного акту є:</w:t>
      </w:r>
    </w:p>
    <w:p w:rsidR="006B07AA" w:rsidRPr="007D3A25" w:rsidRDefault="006B07AA" w:rsidP="009B296A">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визначення переліку податків та зборів, що мають справлятися на території сільської ради;</w:t>
      </w:r>
    </w:p>
    <w:p w:rsidR="006B07AA" w:rsidRPr="007D3A25" w:rsidRDefault="006B07AA" w:rsidP="009B296A">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встановлення відносин, що виникають у сфері справляння місцевих податків та зборів;</w:t>
      </w:r>
    </w:p>
    <w:p w:rsidR="006B07AA" w:rsidRPr="007D3A25" w:rsidRDefault="006B07AA" w:rsidP="009B296A">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встановлення розмірів ставок місцевих податків та зборів в межах визначених Податковим кодексом України із врахуванням потреб територіальної громади;</w:t>
      </w:r>
    </w:p>
    <w:p w:rsidR="006B07AA" w:rsidRPr="007D3A25" w:rsidRDefault="006B07AA" w:rsidP="009B296A">
      <w:pPr>
        <w:numPr>
          <w:ilvl w:val="0"/>
          <w:numId w:val="16"/>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здійснення планування та прогнозування надходжень від місцевих податків та зборів при формуванні сільського бюджету.</w:t>
      </w:r>
    </w:p>
    <w:p w:rsidR="006B07AA" w:rsidRPr="007D3A25" w:rsidRDefault="006B07AA" w:rsidP="009B296A">
      <w:pPr>
        <w:numPr>
          <w:ilvl w:val="0"/>
          <w:numId w:val="17"/>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b/>
          <w:bCs/>
          <w:color w:val="555555"/>
          <w:sz w:val="21"/>
          <w:szCs w:val="21"/>
          <w:lang w:val="ru-RU"/>
        </w:rPr>
        <w:t>Визначення та оцінка усіх прийнятих альтернативних способів досягнення зазначених цілей.</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У разі не встановлення рішеннями органів місцевого самоврядування, місцевих податків та зборів, передбачених пунктом 10.3 статті 10 Кодексу, такі податки та збори сплачуються платниками </w:t>
      </w:r>
      <w:proofErr w:type="gramStart"/>
      <w:r w:rsidRPr="007D3A25">
        <w:rPr>
          <w:rFonts w:ascii="Segoe UI" w:eastAsia="Times New Roman" w:hAnsi="Segoe UI" w:cs="Segoe UI"/>
          <w:color w:val="555555"/>
          <w:sz w:val="24"/>
          <w:szCs w:val="24"/>
          <w:lang w:val="ru-RU"/>
        </w:rPr>
        <w:t>у порядку</w:t>
      </w:r>
      <w:proofErr w:type="gramEnd"/>
      <w:r w:rsidRPr="007D3A25">
        <w:rPr>
          <w:rFonts w:ascii="Segoe UI" w:eastAsia="Times New Roman" w:hAnsi="Segoe UI" w:cs="Segoe UI"/>
          <w:color w:val="555555"/>
          <w:sz w:val="24"/>
          <w:szCs w:val="24"/>
          <w:lang w:val="ru-RU"/>
        </w:rPr>
        <w:t>, встановленому Кодексом та за мінімальними ставками та без застосування відповідних коефіцієнтів.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Неприйняття рішення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 спричинить значні втрати дохідної частини селищного бюджету.</w:t>
      </w:r>
    </w:p>
    <w:p w:rsidR="006B07AA" w:rsidRPr="007D3A25" w:rsidRDefault="006B07AA" w:rsidP="009B296A">
      <w:pPr>
        <w:numPr>
          <w:ilvl w:val="0"/>
          <w:numId w:val="18"/>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color w:val="555555"/>
          <w:sz w:val="21"/>
          <w:szCs w:val="21"/>
        </w:rPr>
        <w:t>Механізм розв’язання проблеми.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Даним регуляторним актом передбачається встановити на території сільської ради місцевий податок на майно в частині податку на нерухоме майно, відмінне від земельної ділянки, ставки та порядок сплати.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p>
    <w:p w:rsidR="006B07AA" w:rsidRPr="007D3A25" w:rsidRDefault="006B07AA" w:rsidP="009B296A">
      <w:pPr>
        <w:numPr>
          <w:ilvl w:val="0"/>
          <w:numId w:val="19"/>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Обґрунтування можливості досягнення встановлених цілей у разі прийняття запропонованого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Прийняття цього регуляторного акту забезпечить належне справляння місцевих податків та зборів.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сплати місцевих податків та зборів.</w:t>
      </w:r>
    </w:p>
    <w:p w:rsidR="006B07AA" w:rsidRPr="007D3A25" w:rsidRDefault="006B07AA" w:rsidP="009B296A">
      <w:pPr>
        <w:numPr>
          <w:ilvl w:val="0"/>
          <w:numId w:val="20"/>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Аналіз вигоди та витрат. Очікувані вигоди та витрати через прийняття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Дія зазначеного регуляторного акту поширюється на фізичних осіб, юридичних осіб, органи місцевого самоврядування, територіальну громаду.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Для визначення очікуваних результатів прийняття запропонованого регуляторного акту, які виникають у різних груп суб’єктів, на яких поширюється дія цього акту, наведена таблиця аналізу вигоди та витрат.</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784"/>
        <w:gridCol w:w="6466"/>
        <w:gridCol w:w="5250"/>
      </w:tblGrid>
      <w:tr w:rsidR="006B07AA" w:rsidRPr="007D3A25" w:rsidTr="00C021A0">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Сфера впливу</w:t>
            </w:r>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Вигода</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Витрати</w:t>
            </w:r>
          </w:p>
        </w:tc>
      </w:tr>
      <w:tr w:rsidR="006B07AA" w:rsidRPr="007D3A25" w:rsidTr="00C021A0">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Для територіальної громади</w:t>
            </w:r>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Надходження до сільського бюджету, своєчасне фінансування бюджетної сфери, здійснення робіт по благоустрою</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Відсутні</w:t>
            </w:r>
          </w:p>
        </w:tc>
      </w:tr>
      <w:tr w:rsidR="006B07AA" w:rsidRPr="00CC22DD" w:rsidTr="00C021A0">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Органи місцевого самоврядування</w:t>
            </w:r>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Чітке встановлення ставок місцевих податків та зборів</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Процедура розробки та прийняття регуляторного акту</w:t>
            </w:r>
          </w:p>
        </w:tc>
      </w:tr>
      <w:tr w:rsidR="006B07AA" w:rsidRPr="00CC22DD" w:rsidTr="00C021A0">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rPr>
            </w:pPr>
            <w:r w:rsidRPr="007D3A25">
              <w:rPr>
                <w:rFonts w:ascii="Segoe UI" w:eastAsia="Times New Roman" w:hAnsi="Segoe UI" w:cs="Segoe UI"/>
                <w:color w:val="555555"/>
                <w:sz w:val="20"/>
                <w:szCs w:val="20"/>
              </w:rPr>
              <w:t>Фізичні та юридичні особи</w:t>
            </w:r>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Прозорість дій місцевих органів влади</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6B07AA" w:rsidRPr="007D3A25" w:rsidRDefault="006B07AA" w:rsidP="00C021A0">
            <w:pPr>
              <w:spacing w:after="300" w:line="240" w:lineRule="auto"/>
              <w:rPr>
                <w:rFonts w:ascii="Segoe UI" w:eastAsia="Times New Roman" w:hAnsi="Segoe UI" w:cs="Segoe UI"/>
                <w:color w:val="555555"/>
                <w:sz w:val="20"/>
                <w:szCs w:val="20"/>
                <w:lang w:val="ru-RU"/>
              </w:rPr>
            </w:pPr>
            <w:r w:rsidRPr="007D3A25">
              <w:rPr>
                <w:rFonts w:ascii="Segoe UI" w:eastAsia="Times New Roman" w:hAnsi="Segoe UI" w:cs="Segoe UI"/>
                <w:color w:val="555555"/>
                <w:sz w:val="20"/>
                <w:szCs w:val="20"/>
                <w:lang w:val="ru-RU"/>
              </w:rPr>
              <w:t>Витрати, пов’язані зі сплатою податку</w:t>
            </w:r>
          </w:p>
        </w:tc>
      </w:tr>
    </w:tbl>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9B296A">
      <w:pPr>
        <w:numPr>
          <w:ilvl w:val="0"/>
          <w:numId w:val="21"/>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Обґрунтування строку дії запропонованого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Зазначений проект нормативно-правового акту є загальнообов’язковим до застосування на території сільської ради та має необмежений термін дії.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p>
    <w:p w:rsidR="006B07AA" w:rsidRPr="007D3A25" w:rsidRDefault="006B07AA" w:rsidP="009B296A">
      <w:pPr>
        <w:numPr>
          <w:ilvl w:val="0"/>
          <w:numId w:val="22"/>
        </w:numPr>
        <w:shd w:val="clear" w:color="auto" w:fill="FFFFFF"/>
        <w:spacing w:after="0" w:line="240" w:lineRule="auto"/>
        <w:ind w:left="300"/>
        <w:rPr>
          <w:rFonts w:ascii="Segoe UI" w:eastAsia="Times New Roman" w:hAnsi="Segoe UI" w:cs="Segoe UI"/>
          <w:color w:val="555555"/>
          <w:sz w:val="21"/>
          <w:szCs w:val="21"/>
        </w:rPr>
      </w:pPr>
      <w:r w:rsidRPr="007D3A25">
        <w:rPr>
          <w:rFonts w:ascii="Segoe UI" w:eastAsia="Times New Roman" w:hAnsi="Segoe UI" w:cs="Segoe UI"/>
          <w:color w:val="555555"/>
          <w:sz w:val="21"/>
          <w:szCs w:val="21"/>
        </w:rPr>
        <w:t>Показники результативності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Для визначення результативності цього регуляторного акту пропонується встановити такі загальні показники: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динаміка кількості платників (в розрізі місцевих податків та зборів);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lastRenderedPageBreak/>
        <w:t>– обсяги надходжень відповідних місцевих податків та зборів.</w:t>
      </w:r>
    </w:p>
    <w:p w:rsidR="006B07AA" w:rsidRPr="007D3A25" w:rsidRDefault="006B07AA" w:rsidP="009B296A">
      <w:pPr>
        <w:numPr>
          <w:ilvl w:val="0"/>
          <w:numId w:val="23"/>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Заходи, за допомогою яких буде здійснюватися відстеження результативності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Цільова група: фізичні та юридичні особи-платники місцевих податків т зборів.</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Базове відстеження результативності регуляторного акту буде проведене після набрання чинності регуляторного акту.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Повторне відстеження результативності рішення селищної ради буде здійснено через рік після набрання ним чинності.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6B07AA" w:rsidRPr="007D3A25" w:rsidRDefault="006B07AA" w:rsidP="006B07AA">
      <w:pPr>
        <w:shd w:val="clear" w:color="auto" w:fill="FFFFFF"/>
        <w:spacing w:before="300" w:after="150" w:line="240" w:lineRule="auto"/>
        <w:outlineLvl w:val="0"/>
        <w:rPr>
          <w:rFonts w:ascii="Segoe UI" w:eastAsia="Times New Roman" w:hAnsi="Segoe UI" w:cs="Segoe UI"/>
          <w:color w:val="222222"/>
          <w:kern w:val="36"/>
          <w:sz w:val="48"/>
          <w:szCs w:val="48"/>
          <w:lang w:val="ru-RU"/>
        </w:rPr>
      </w:pPr>
      <w:r w:rsidRPr="007D3A25">
        <w:rPr>
          <w:rFonts w:ascii="Segoe UI" w:eastAsia="Times New Roman" w:hAnsi="Segoe UI" w:cs="Segoe UI"/>
          <w:i/>
          <w:iCs/>
          <w:color w:val="222222"/>
          <w:kern w:val="36"/>
          <w:sz w:val="48"/>
          <w:szCs w:val="48"/>
          <w:lang w:val="ru-RU"/>
        </w:rPr>
        <w:t>Експертний висновок</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i/>
          <w:iCs/>
          <w:color w:val="555555"/>
          <w:sz w:val="24"/>
          <w:szCs w:val="24"/>
          <w:lang w:val="ru-RU"/>
        </w:rPr>
        <w:t>щодо регуляторного впливу проекту регуляторного акту</w:t>
      </w:r>
      <w:r w:rsidRPr="007D3A25">
        <w:rPr>
          <w:rFonts w:ascii="Segoe UI" w:eastAsia="Times New Roman" w:hAnsi="Segoe UI" w:cs="Segoe UI"/>
          <w:b/>
          <w:bCs/>
          <w:i/>
          <w:iCs/>
          <w:color w:val="555555"/>
          <w:sz w:val="24"/>
          <w:szCs w:val="24"/>
        </w:rPr>
        <w:t> </w:t>
      </w:r>
      <w:proofErr w:type="gramStart"/>
      <w:r w:rsidRPr="007D3A25">
        <w:rPr>
          <w:rFonts w:ascii="Segoe UI" w:eastAsia="Times New Roman" w:hAnsi="Segoe UI" w:cs="Segoe UI"/>
          <w:b/>
          <w:bCs/>
          <w:i/>
          <w:iCs/>
          <w:color w:val="555555"/>
          <w:sz w:val="24"/>
          <w:szCs w:val="24"/>
          <w:lang w:val="ru-RU"/>
        </w:rPr>
        <w:t>Про</w:t>
      </w:r>
      <w:proofErr w:type="gramEnd"/>
      <w:r w:rsidRPr="007D3A25">
        <w:rPr>
          <w:rFonts w:ascii="Segoe UI" w:eastAsia="Times New Roman" w:hAnsi="Segoe UI" w:cs="Segoe UI"/>
          <w:b/>
          <w:bCs/>
          <w:i/>
          <w:iCs/>
          <w:color w:val="555555"/>
          <w:sz w:val="24"/>
          <w:szCs w:val="24"/>
          <w:lang w:val="ru-RU"/>
        </w:rPr>
        <w:t xml:space="preserve">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нього.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НАЗВА РЕГУЛЯТОРНОГО АКТу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“Про встановлення податку </w:t>
      </w:r>
      <w:proofErr w:type="gramStart"/>
      <w:r w:rsidRPr="007D3A25">
        <w:rPr>
          <w:rFonts w:ascii="Segoe UI" w:eastAsia="Times New Roman" w:hAnsi="Segoe UI" w:cs="Segoe UI"/>
          <w:color w:val="555555"/>
          <w:sz w:val="24"/>
          <w:szCs w:val="24"/>
          <w:lang w:val="ru-RU"/>
        </w:rPr>
        <w:t xml:space="preserve">на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майно</w:t>
      </w:r>
      <w:proofErr w:type="gramEnd"/>
      <w:r w:rsidRPr="007D3A25">
        <w:rPr>
          <w:rFonts w:ascii="Segoe UI" w:eastAsia="Times New Roman" w:hAnsi="Segoe UI" w:cs="Segoe UI"/>
          <w:color w:val="555555"/>
          <w:sz w:val="24"/>
          <w:szCs w:val="24"/>
          <w:lang w:val="ru-RU"/>
        </w:rPr>
        <w:t xml:space="preserve"> в частині податку на нерухоме майно, відмінне від земельної ділянки на території Крижанівської сільської ради та затвердження Положення про нього».</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ПРОБЛЕМА:</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Регуляторний акт</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створюється</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з</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метою забезпечення збалансованого економічного і соціального розвитку сіл,</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наповнення сільського бюджету, затвердження ставок податку на нерухоме майно, відмінне від земельної ділянки,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 зв’язку з введенням в дію</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Закону України “Про внесення змін до Податкового</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кодексу України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від 20 грудня 2016 року № 1791-УІІІ та Закону України “Про внесення змін до Податкового</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кодексу України та деяких законодавчих актів України щодо забезпечення збалансованості бюджетних надходжень у 2018 році» від 07 грудня 2017 року № 2245-19 .</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Цей регуляторний акт встановлює податки на нерухоме майно, відмінне від земельної ділянки, визначає об’єкти оподаткування, платників податків і зборів, розмір ставок, податкові періоди, строк та порядок сплати податків, що зумовлює надходження додаткових коштів </w:t>
      </w:r>
      <w:proofErr w:type="gramStart"/>
      <w:r w:rsidRPr="007D3A25">
        <w:rPr>
          <w:rFonts w:ascii="Segoe UI" w:eastAsia="Times New Roman" w:hAnsi="Segoe UI" w:cs="Segoe UI"/>
          <w:color w:val="555555"/>
          <w:sz w:val="24"/>
          <w:szCs w:val="24"/>
          <w:lang w:val="ru-RU"/>
        </w:rPr>
        <w:t>до бюджету</w:t>
      </w:r>
      <w:proofErr w:type="gramEnd"/>
      <w:r w:rsidRPr="007D3A25">
        <w:rPr>
          <w:rFonts w:ascii="Segoe UI" w:eastAsia="Times New Roman" w:hAnsi="Segoe UI" w:cs="Segoe UI"/>
          <w:color w:val="555555"/>
          <w:sz w:val="24"/>
          <w:szCs w:val="24"/>
          <w:lang w:val="ru-RU"/>
        </w:rPr>
        <w:t>.</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ЦІЛІ ПРИЙНЯТТЯ: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впорядкування механізму сплати місцевих податків і зборів відповідно вимогам чинного законодавства</w:t>
      </w:r>
    </w:p>
    <w:p w:rsidR="006B07AA" w:rsidRPr="007D3A25" w:rsidRDefault="006B07AA" w:rsidP="009B296A">
      <w:pPr>
        <w:numPr>
          <w:ilvl w:val="0"/>
          <w:numId w:val="24"/>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lastRenderedPageBreak/>
        <w:t>підвищення мотивації громадян до заняття окремими видами підприємницької діяльності;</w:t>
      </w:r>
    </w:p>
    <w:p w:rsidR="006B07AA" w:rsidRPr="007D3A25" w:rsidRDefault="006B07AA" w:rsidP="009B296A">
      <w:pPr>
        <w:numPr>
          <w:ilvl w:val="0"/>
          <w:numId w:val="24"/>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легалізація окремих видів підприємницької діяльності;</w:t>
      </w:r>
    </w:p>
    <w:p w:rsidR="006B07AA" w:rsidRPr="007D3A25" w:rsidRDefault="006B07AA" w:rsidP="009B296A">
      <w:pPr>
        <w:numPr>
          <w:ilvl w:val="0"/>
          <w:numId w:val="24"/>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збільшення надходжень до місцевого бюджету;</w:t>
      </w:r>
    </w:p>
    <w:p w:rsidR="006B07AA" w:rsidRPr="007D3A25" w:rsidRDefault="006B07AA" w:rsidP="009B296A">
      <w:pPr>
        <w:numPr>
          <w:ilvl w:val="0"/>
          <w:numId w:val="24"/>
        </w:numPr>
        <w:shd w:val="clear" w:color="auto" w:fill="FFFFFF"/>
        <w:spacing w:after="0" w:line="240" w:lineRule="auto"/>
        <w:ind w:left="300"/>
        <w:rPr>
          <w:rFonts w:ascii="Segoe UI" w:eastAsia="Times New Roman" w:hAnsi="Segoe UI" w:cs="Segoe UI"/>
          <w:color w:val="555555"/>
          <w:sz w:val="21"/>
          <w:szCs w:val="21"/>
          <w:lang w:val="ru-RU"/>
        </w:rPr>
      </w:pPr>
      <w:r w:rsidRPr="007D3A25">
        <w:rPr>
          <w:rFonts w:ascii="Segoe UI" w:eastAsia="Times New Roman" w:hAnsi="Segoe UI" w:cs="Segoe UI"/>
          <w:color w:val="555555"/>
          <w:sz w:val="21"/>
          <w:szCs w:val="21"/>
          <w:lang w:val="ru-RU"/>
        </w:rPr>
        <w:t>приведення чинного регулювання у відповідність з Податковим кодексом України та принципами державної регуляторної політики.</w:t>
      </w:r>
    </w:p>
    <w:p w:rsidR="006B07AA" w:rsidRPr="00CC22DD"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CC22DD">
        <w:rPr>
          <w:rFonts w:ascii="Segoe UI" w:eastAsia="Times New Roman" w:hAnsi="Segoe UI" w:cs="Segoe UI"/>
          <w:b/>
          <w:bCs/>
          <w:color w:val="555555"/>
          <w:sz w:val="24"/>
          <w:szCs w:val="24"/>
          <w:lang w:val="ru-RU"/>
        </w:rPr>
        <w:t>МОЖЛИВІСТЬ ВПРОВАДЖЕННЯ: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Запропонований регуляторний акт відповідає вимогам діючого законодавства. Прийняття такого регуляторного акту є доцільним, він відповідає принципам </w:t>
      </w:r>
      <w:proofErr w:type="gramStart"/>
      <w:r w:rsidRPr="007D3A25">
        <w:rPr>
          <w:rFonts w:ascii="Segoe UI" w:eastAsia="Times New Roman" w:hAnsi="Segoe UI" w:cs="Segoe UI"/>
          <w:color w:val="555555"/>
          <w:sz w:val="24"/>
          <w:szCs w:val="24"/>
          <w:lang w:val="ru-RU"/>
        </w:rPr>
        <w:t>державної</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регуляторної</w:t>
      </w:r>
      <w:proofErr w:type="gramEnd"/>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політики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(ст. 4 Закону України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«Про засади державної регуляторної політики у сфері господарської діяльності»).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Розробником </w:t>
      </w:r>
      <w:proofErr w:type="gramStart"/>
      <w:r w:rsidRPr="007D3A25">
        <w:rPr>
          <w:rFonts w:ascii="Segoe UI" w:eastAsia="Times New Roman" w:hAnsi="Segoe UI" w:cs="Segoe UI"/>
          <w:color w:val="555555"/>
          <w:sz w:val="24"/>
          <w:szCs w:val="24"/>
          <w:lang w:val="ru-RU"/>
        </w:rPr>
        <w:t>проекту</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регуляторного</w:t>
      </w:r>
      <w:proofErr w:type="gramEnd"/>
      <w:r w:rsidRPr="007D3A25">
        <w:rPr>
          <w:rFonts w:ascii="Segoe UI" w:eastAsia="Times New Roman" w:hAnsi="Segoe UI" w:cs="Segoe UI"/>
          <w:color w:val="555555"/>
          <w:sz w:val="24"/>
          <w:szCs w:val="24"/>
          <w:lang w:val="ru-RU"/>
        </w:rPr>
        <w:t xml:space="preserve"> акту підготовлено аналіз регуляторного впливу відповідно до вимог зазначених у ст. 8 Закону України “Про засади державної регуляторної політики</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у сфері господарської діяльності“. Проект рішення пройшов процедуру оприлюднення.</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Повідомлення про оприлюднення регуляторного акту </w:t>
      </w:r>
      <w:proofErr w:type="gramStart"/>
      <w:r w:rsidRPr="007D3A25">
        <w:rPr>
          <w:rFonts w:ascii="Segoe UI" w:eastAsia="Times New Roman" w:hAnsi="Segoe UI" w:cs="Segoe UI"/>
          <w:color w:val="555555"/>
          <w:sz w:val="24"/>
          <w:szCs w:val="24"/>
          <w:lang w:val="ru-RU"/>
        </w:rPr>
        <w:t>розміщено</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на</w:t>
      </w:r>
      <w:proofErr w:type="gramEnd"/>
      <w:r w:rsidRPr="007D3A25">
        <w:rPr>
          <w:rFonts w:ascii="Segoe UI" w:eastAsia="Times New Roman" w:hAnsi="Segoe UI" w:cs="Segoe UI"/>
          <w:color w:val="555555"/>
          <w:sz w:val="24"/>
          <w:szCs w:val="24"/>
          <w:lang w:val="ru-RU"/>
        </w:rPr>
        <w:t xml:space="preserve"> офіційному сайті Крижанівської сільської радитопської нне від земельної ділянки на території Коровинської сільської ради.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Проект рішення разом з аналізом регуляторного впливу розміщено на офіційному сайті Крижанівської сільської ради. </w:t>
      </w:r>
      <w:proofErr w:type="gramStart"/>
      <w:r w:rsidRPr="007D3A25">
        <w:rPr>
          <w:rFonts w:ascii="Segoe UI" w:eastAsia="Times New Roman" w:hAnsi="Segoe UI" w:cs="Segoe UI"/>
          <w:color w:val="555555"/>
          <w:sz w:val="24"/>
          <w:szCs w:val="24"/>
          <w:lang w:val="ru-RU"/>
        </w:rPr>
        <w:t>Термін</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w:t>
      </w:r>
      <w:proofErr w:type="gramEnd"/>
      <w:r w:rsidRPr="007D3A25">
        <w:rPr>
          <w:rFonts w:ascii="Segoe UI" w:eastAsia="Times New Roman" w:hAnsi="Segoe UI" w:cs="Segoe UI"/>
          <w:color w:val="555555"/>
          <w:sz w:val="24"/>
          <w:szCs w:val="24"/>
          <w:lang w:val="ru-RU"/>
        </w:rPr>
        <w:t>30 днів з дня оприлюднення ) протягом якого прийматимуться зауваження та пропозиції щодо проекту регуляторного акту закінчиться</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15 квітня 2019 року.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b/>
          <w:bCs/>
          <w:color w:val="555555"/>
          <w:sz w:val="24"/>
          <w:szCs w:val="24"/>
          <w:lang w:val="ru-RU"/>
        </w:rPr>
        <w:t>ОЧІКУВАНІ РЕЗУЛЬТАТИ:</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Введення місцевих податків і зборів, розмірів їх ставок забезпечить запобіганню ухилення від оподаткування громадян, фізичних осіб-підприємців та сприятиме забезпеченню населення якісними товарами, роботами, послугами, збільшенню доходної частини бюджету, у результаті чого підвищиться рівень соціального забезпечення окремих категорій громадян і всіх сіл в цілому.</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lang w:val="ru-RU"/>
        </w:rPr>
        <w:t xml:space="preserve">Враховуючи проведену експертизу, проект регуляторного акту «Про встановлення податку на майно в частині податку на нерухоме майно, відмінне від земельної ділянки на території Крижанівської сільської ради та затвердження Положення про </w:t>
      </w:r>
      <w:proofErr w:type="gramStart"/>
      <w:r w:rsidRPr="007D3A25">
        <w:rPr>
          <w:rFonts w:ascii="Segoe UI" w:eastAsia="Times New Roman" w:hAnsi="Segoe UI" w:cs="Segoe UI"/>
          <w:color w:val="555555"/>
          <w:sz w:val="24"/>
          <w:szCs w:val="24"/>
          <w:lang w:val="ru-RU"/>
        </w:rPr>
        <w:t xml:space="preserve">нього» </w:t>
      </w:r>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відповідає</w:t>
      </w:r>
      <w:proofErr w:type="gramEnd"/>
      <w:r w:rsidRPr="007D3A25">
        <w:rPr>
          <w:rFonts w:ascii="Segoe UI" w:eastAsia="Times New Roman" w:hAnsi="Segoe UI" w:cs="Segoe UI"/>
          <w:color w:val="555555"/>
          <w:sz w:val="24"/>
          <w:szCs w:val="24"/>
        </w:rPr>
        <w:t> </w:t>
      </w:r>
      <w:r w:rsidRPr="007D3A25">
        <w:rPr>
          <w:rFonts w:ascii="Segoe UI" w:eastAsia="Times New Roman" w:hAnsi="Segoe UI" w:cs="Segoe UI"/>
          <w:color w:val="555555"/>
          <w:sz w:val="24"/>
          <w:szCs w:val="24"/>
          <w:lang w:val="ru-RU"/>
        </w:rPr>
        <w:t xml:space="preserve"> вимогам статей 4 та 8 Закону України “Про засади державної регуляторної політики у сфері господарської діяльності».</w:t>
      </w:r>
    </w:p>
    <w:p w:rsidR="006B07AA" w:rsidRPr="007D3A25" w:rsidRDefault="006B07AA" w:rsidP="006B07AA">
      <w:pPr>
        <w:shd w:val="clear" w:color="auto" w:fill="FFFFFF"/>
        <w:spacing w:after="150" w:line="240" w:lineRule="auto"/>
        <w:rPr>
          <w:rFonts w:ascii="Segoe UI" w:eastAsia="Times New Roman" w:hAnsi="Segoe UI" w:cs="Segoe UI"/>
          <w:color w:val="555555"/>
          <w:sz w:val="24"/>
          <w:szCs w:val="24"/>
          <w:lang w:val="ru-RU"/>
        </w:rPr>
      </w:pPr>
      <w:r w:rsidRPr="007D3A25">
        <w:rPr>
          <w:rFonts w:ascii="Segoe UI" w:eastAsia="Times New Roman" w:hAnsi="Segoe UI" w:cs="Segoe UI"/>
          <w:color w:val="555555"/>
          <w:sz w:val="24"/>
          <w:szCs w:val="24"/>
        </w:rPr>
        <w:t> </w:t>
      </w:r>
    </w:p>
    <w:p w:rsidR="00F112A7" w:rsidRPr="006B07AA" w:rsidRDefault="00F112A7" w:rsidP="006B07AA">
      <w:pPr>
        <w:rPr>
          <w:lang w:val="ru-RU"/>
        </w:rPr>
      </w:pPr>
    </w:p>
    <w:sectPr w:rsidR="00F112A7" w:rsidRPr="006B07A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BA0"/>
    <w:multiLevelType w:val="multilevel"/>
    <w:tmpl w:val="6EA2DE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0E8B"/>
    <w:multiLevelType w:val="multilevel"/>
    <w:tmpl w:val="4002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922BA"/>
    <w:multiLevelType w:val="multilevel"/>
    <w:tmpl w:val="DDD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569CD"/>
    <w:multiLevelType w:val="multilevel"/>
    <w:tmpl w:val="79FC54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F3F58"/>
    <w:multiLevelType w:val="multilevel"/>
    <w:tmpl w:val="C60E9F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15CAC"/>
    <w:multiLevelType w:val="multilevel"/>
    <w:tmpl w:val="162AC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95471"/>
    <w:multiLevelType w:val="multilevel"/>
    <w:tmpl w:val="997E2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7A695F"/>
    <w:multiLevelType w:val="multilevel"/>
    <w:tmpl w:val="806E7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51AAE"/>
    <w:multiLevelType w:val="multilevel"/>
    <w:tmpl w:val="6AD4D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B4493"/>
    <w:multiLevelType w:val="multilevel"/>
    <w:tmpl w:val="E42E5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435A6"/>
    <w:multiLevelType w:val="multilevel"/>
    <w:tmpl w:val="C3BC77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55F1A"/>
    <w:multiLevelType w:val="multilevel"/>
    <w:tmpl w:val="625273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D0994"/>
    <w:multiLevelType w:val="multilevel"/>
    <w:tmpl w:val="611A9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03662"/>
    <w:multiLevelType w:val="multilevel"/>
    <w:tmpl w:val="3992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F05F1E"/>
    <w:multiLevelType w:val="multilevel"/>
    <w:tmpl w:val="98F44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20AF7"/>
    <w:multiLevelType w:val="multilevel"/>
    <w:tmpl w:val="D01C6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170"/>
    <w:multiLevelType w:val="multilevel"/>
    <w:tmpl w:val="16F4F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7F39F5"/>
    <w:multiLevelType w:val="multilevel"/>
    <w:tmpl w:val="3FDAEF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CC7E70"/>
    <w:multiLevelType w:val="multilevel"/>
    <w:tmpl w:val="B5E49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447DE"/>
    <w:multiLevelType w:val="multilevel"/>
    <w:tmpl w:val="8BFA7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B7440E"/>
    <w:multiLevelType w:val="multilevel"/>
    <w:tmpl w:val="207C7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9E7FA9"/>
    <w:multiLevelType w:val="multilevel"/>
    <w:tmpl w:val="7708E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5E3E94"/>
    <w:multiLevelType w:val="multilevel"/>
    <w:tmpl w:val="E95E7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1C444B"/>
    <w:multiLevelType w:val="multilevel"/>
    <w:tmpl w:val="7ED2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23"/>
  </w:num>
  <w:num w:numId="4">
    <w:abstractNumId w:val="19"/>
  </w:num>
  <w:num w:numId="5">
    <w:abstractNumId w:val="20"/>
  </w:num>
  <w:num w:numId="6">
    <w:abstractNumId w:val="12"/>
  </w:num>
  <w:num w:numId="7">
    <w:abstractNumId w:val="7"/>
  </w:num>
  <w:num w:numId="8">
    <w:abstractNumId w:val="0"/>
  </w:num>
  <w:num w:numId="9">
    <w:abstractNumId w:val="15"/>
  </w:num>
  <w:num w:numId="10">
    <w:abstractNumId w:val="18"/>
  </w:num>
  <w:num w:numId="11">
    <w:abstractNumId w:val="17"/>
  </w:num>
  <w:num w:numId="12">
    <w:abstractNumId w:val="11"/>
  </w:num>
  <w:num w:numId="13">
    <w:abstractNumId w:val="10"/>
  </w:num>
  <w:num w:numId="14">
    <w:abstractNumId w:val="8"/>
  </w:num>
  <w:num w:numId="15">
    <w:abstractNumId w:val="6"/>
  </w:num>
  <w:num w:numId="16">
    <w:abstractNumId w:val="13"/>
  </w:num>
  <w:num w:numId="17">
    <w:abstractNumId w:val="4"/>
  </w:num>
  <w:num w:numId="18">
    <w:abstractNumId w:val="21"/>
  </w:num>
  <w:num w:numId="19">
    <w:abstractNumId w:val="9"/>
  </w:num>
  <w:num w:numId="20">
    <w:abstractNumId w:val="16"/>
  </w:num>
  <w:num w:numId="21">
    <w:abstractNumId w:val="3"/>
  </w:num>
  <w:num w:numId="22">
    <w:abstractNumId w:val="14"/>
  </w:num>
  <w:num w:numId="23">
    <w:abstractNumId w:val="5"/>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204677"/>
    <w:rsid w:val="00433436"/>
    <w:rsid w:val="00440B05"/>
    <w:rsid w:val="00492426"/>
    <w:rsid w:val="006B07AA"/>
    <w:rsid w:val="00715EEE"/>
    <w:rsid w:val="007D3A25"/>
    <w:rsid w:val="008753B9"/>
    <w:rsid w:val="009B296A"/>
    <w:rsid w:val="00B47D4A"/>
    <w:rsid w:val="00C12D6B"/>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384">
      <w:bodyDiv w:val="1"/>
      <w:marLeft w:val="0"/>
      <w:marRight w:val="0"/>
      <w:marTop w:val="0"/>
      <w:marBottom w:val="0"/>
      <w:divBdr>
        <w:top w:val="none" w:sz="0" w:space="0" w:color="auto"/>
        <w:left w:val="none" w:sz="0" w:space="0" w:color="auto"/>
        <w:bottom w:val="none" w:sz="0" w:space="0" w:color="auto"/>
        <w:right w:val="none" w:sz="0" w:space="0" w:color="auto"/>
      </w:divBdr>
    </w:div>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457651714">
      <w:bodyDiv w:val="1"/>
      <w:marLeft w:val="0"/>
      <w:marRight w:val="0"/>
      <w:marTop w:val="0"/>
      <w:marBottom w:val="0"/>
      <w:divBdr>
        <w:top w:val="none" w:sz="0" w:space="0" w:color="auto"/>
        <w:left w:val="none" w:sz="0" w:space="0" w:color="auto"/>
        <w:bottom w:val="none" w:sz="0" w:space="0" w:color="auto"/>
        <w:right w:val="none" w:sz="0" w:space="0" w:color="auto"/>
      </w:divBdr>
      <w:divsChild>
        <w:div w:id="1438401245">
          <w:marLeft w:val="0"/>
          <w:marRight w:val="0"/>
          <w:marTop w:val="450"/>
          <w:marBottom w:val="450"/>
          <w:divBdr>
            <w:top w:val="none" w:sz="0" w:space="0" w:color="auto"/>
            <w:left w:val="none" w:sz="0" w:space="0" w:color="auto"/>
            <w:bottom w:val="none" w:sz="0" w:space="0" w:color="auto"/>
            <w:right w:val="none" w:sz="0" w:space="0" w:color="auto"/>
          </w:divBdr>
          <w:divsChild>
            <w:div w:id="45496620">
              <w:marLeft w:val="0"/>
              <w:marRight w:val="0"/>
              <w:marTop w:val="100"/>
              <w:marBottom w:val="100"/>
              <w:divBdr>
                <w:top w:val="none" w:sz="0" w:space="0" w:color="auto"/>
                <w:left w:val="none" w:sz="0" w:space="0" w:color="auto"/>
                <w:bottom w:val="none" w:sz="0" w:space="0" w:color="auto"/>
                <w:right w:val="none" w:sz="0" w:space="0" w:color="auto"/>
              </w:divBdr>
              <w:divsChild>
                <w:div w:id="220485121">
                  <w:marLeft w:val="0"/>
                  <w:marRight w:val="0"/>
                  <w:marTop w:val="0"/>
                  <w:marBottom w:val="0"/>
                  <w:divBdr>
                    <w:top w:val="none" w:sz="0" w:space="0" w:color="auto"/>
                    <w:left w:val="none" w:sz="0" w:space="0" w:color="auto"/>
                    <w:bottom w:val="none" w:sz="0" w:space="0" w:color="auto"/>
                    <w:right w:val="none" w:sz="0" w:space="0" w:color="auto"/>
                  </w:divBdr>
                  <w:divsChild>
                    <w:div w:id="917329025">
                      <w:marLeft w:val="0"/>
                      <w:marRight w:val="0"/>
                      <w:marTop w:val="0"/>
                      <w:marBottom w:val="0"/>
                      <w:divBdr>
                        <w:top w:val="none" w:sz="0" w:space="0" w:color="auto"/>
                        <w:left w:val="none" w:sz="0" w:space="0" w:color="auto"/>
                        <w:bottom w:val="none" w:sz="0" w:space="0" w:color="auto"/>
                        <w:right w:val="none" w:sz="0" w:space="0" w:color="auto"/>
                      </w:divBdr>
                      <w:divsChild>
                        <w:div w:id="1292445503">
                          <w:marLeft w:val="0"/>
                          <w:marRight w:val="0"/>
                          <w:marTop w:val="0"/>
                          <w:marBottom w:val="0"/>
                          <w:divBdr>
                            <w:top w:val="none" w:sz="0" w:space="0" w:color="auto"/>
                            <w:left w:val="none" w:sz="0" w:space="0" w:color="auto"/>
                            <w:bottom w:val="none" w:sz="0" w:space="0" w:color="auto"/>
                            <w:right w:val="none" w:sz="0" w:space="0" w:color="auto"/>
                          </w:divBdr>
                          <w:divsChild>
                            <w:div w:id="630205558">
                              <w:marLeft w:val="0"/>
                              <w:marRight w:val="0"/>
                              <w:marTop w:val="0"/>
                              <w:marBottom w:val="0"/>
                              <w:divBdr>
                                <w:top w:val="none" w:sz="0" w:space="0" w:color="auto"/>
                                <w:left w:val="none" w:sz="0" w:space="0" w:color="auto"/>
                                <w:bottom w:val="none" w:sz="0" w:space="0" w:color="auto"/>
                                <w:right w:val="none" w:sz="0" w:space="0" w:color="auto"/>
                              </w:divBdr>
                              <w:divsChild>
                                <w:div w:id="2053920031">
                                  <w:marLeft w:val="0"/>
                                  <w:marRight w:val="0"/>
                                  <w:marTop w:val="0"/>
                                  <w:marBottom w:val="0"/>
                                  <w:divBdr>
                                    <w:top w:val="none" w:sz="0" w:space="0" w:color="auto"/>
                                    <w:left w:val="none" w:sz="0" w:space="0" w:color="auto"/>
                                    <w:bottom w:val="none" w:sz="0" w:space="0" w:color="auto"/>
                                    <w:right w:val="none" w:sz="0" w:space="0" w:color="auto"/>
                                  </w:divBdr>
                                  <w:divsChild>
                                    <w:div w:id="661196951">
                                      <w:marLeft w:val="0"/>
                                      <w:marRight w:val="0"/>
                                      <w:marTop w:val="0"/>
                                      <w:marBottom w:val="300"/>
                                      <w:divBdr>
                                        <w:top w:val="none" w:sz="0" w:space="0" w:color="auto"/>
                                        <w:left w:val="none" w:sz="0" w:space="0" w:color="auto"/>
                                        <w:bottom w:val="none" w:sz="0" w:space="0" w:color="auto"/>
                                        <w:right w:val="none" w:sz="0" w:space="0" w:color="auto"/>
                                      </w:divBdr>
                                      <w:divsChild>
                                        <w:div w:id="1066879783">
                                          <w:marLeft w:val="0"/>
                                          <w:marRight w:val="0"/>
                                          <w:marTop w:val="0"/>
                                          <w:marBottom w:val="0"/>
                                          <w:divBdr>
                                            <w:top w:val="none" w:sz="0" w:space="0" w:color="auto"/>
                                            <w:left w:val="none" w:sz="0" w:space="0" w:color="auto"/>
                                            <w:bottom w:val="none" w:sz="0" w:space="0" w:color="auto"/>
                                            <w:right w:val="none" w:sz="0" w:space="0" w:color="auto"/>
                                          </w:divBdr>
                                          <w:divsChild>
                                            <w:div w:id="1941716497">
                                              <w:marLeft w:val="0"/>
                                              <w:marRight w:val="0"/>
                                              <w:marTop w:val="0"/>
                                              <w:marBottom w:val="0"/>
                                              <w:divBdr>
                                                <w:top w:val="none" w:sz="0" w:space="0" w:color="auto"/>
                                                <w:left w:val="none" w:sz="0" w:space="0" w:color="auto"/>
                                                <w:bottom w:val="none" w:sz="0" w:space="0" w:color="auto"/>
                                                <w:right w:val="none" w:sz="0" w:space="0" w:color="auto"/>
                                              </w:divBdr>
                                              <w:divsChild>
                                                <w:div w:id="128138130">
                                                  <w:marLeft w:val="0"/>
                                                  <w:marRight w:val="0"/>
                                                  <w:marTop w:val="0"/>
                                                  <w:marBottom w:val="0"/>
                                                  <w:divBdr>
                                                    <w:top w:val="none" w:sz="0" w:space="0" w:color="auto"/>
                                                    <w:left w:val="none" w:sz="0" w:space="0" w:color="auto"/>
                                                    <w:bottom w:val="none" w:sz="0" w:space="0" w:color="auto"/>
                                                    <w:right w:val="none" w:sz="0" w:space="0" w:color="auto"/>
                                                  </w:divBdr>
                                                  <w:divsChild>
                                                    <w:div w:id="7641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97369">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 w:id="15003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2021-04-19T07:03:00Z</dcterms:created>
  <dcterms:modified xsi:type="dcterms:W3CDTF">2021-04-19T09:43:00Z</dcterms:modified>
</cp:coreProperties>
</file>