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t>У К Р А Ї Н А</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t>КРИЖАНІВСЬКА</w:t>
      </w:r>
      <w:r w:rsidRPr="00204677">
        <w:rPr>
          <w:rFonts w:ascii="Times New Roman" w:eastAsia="Times New Roman" w:hAnsi="Times New Roman" w:cs="Times New Roman"/>
          <w:b/>
          <w:bCs/>
          <w:color w:val="555555"/>
          <w:sz w:val="24"/>
          <w:szCs w:val="24"/>
        </w:rPr>
        <w:t>  </w:t>
      </w:r>
      <w:r w:rsidRPr="00204677">
        <w:rPr>
          <w:rFonts w:ascii="Times New Roman" w:eastAsia="Times New Roman" w:hAnsi="Times New Roman" w:cs="Times New Roman"/>
          <w:b/>
          <w:bCs/>
          <w:color w:val="555555"/>
          <w:sz w:val="24"/>
          <w:szCs w:val="24"/>
          <w:lang w:val="ru-RU"/>
        </w:rPr>
        <w:t xml:space="preserve"> СІЛЬСЬКА</w:t>
      </w:r>
      <w:r w:rsidRPr="00204677">
        <w:rPr>
          <w:rFonts w:ascii="Times New Roman" w:eastAsia="Times New Roman" w:hAnsi="Times New Roman" w:cs="Times New Roman"/>
          <w:b/>
          <w:bCs/>
          <w:color w:val="555555"/>
          <w:sz w:val="24"/>
          <w:szCs w:val="24"/>
        </w:rPr>
        <w:t>  </w:t>
      </w:r>
      <w:r w:rsidRPr="00204677">
        <w:rPr>
          <w:rFonts w:ascii="Times New Roman" w:eastAsia="Times New Roman" w:hAnsi="Times New Roman" w:cs="Times New Roman"/>
          <w:b/>
          <w:bCs/>
          <w:color w:val="555555"/>
          <w:sz w:val="24"/>
          <w:szCs w:val="24"/>
          <w:lang w:val="ru-RU"/>
        </w:rPr>
        <w:t xml:space="preserve"> РАДА</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t>ЛИМАНСЬКОГО РАЙОНУ ОДЕСЬКОЇ ОБЛАСТІ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 xml:space="preserve">Проект рішення </w:t>
      </w:r>
      <w:r w:rsidRPr="00204677">
        <w:rPr>
          <w:rFonts w:ascii="Times New Roman" w:eastAsia="Times New Roman" w:hAnsi="Times New Roman" w:cs="Times New Roman"/>
          <w:color w:val="555555"/>
          <w:sz w:val="24"/>
          <w:szCs w:val="24"/>
        </w:rPr>
        <w:t>XL</w:t>
      </w:r>
      <w:r w:rsidRPr="00204677">
        <w:rPr>
          <w:rFonts w:ascii="Times New Roman" w:eastAsia="Times New Roman" w:hAnsi="Times New Roman" w:cs="Times New Roman"/>
          <w:color w:val="555555"/>
          <w:sz w:val="24"/>
          <w:szCs w:val="24"/>
          <w:lang w:val="ru-RU"/>
        </w:rPr>
        <w:t>І сесії Крижанівської</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 xml:space="preserve">сільської ради </w:t>
      </w:r>
      <w:r w:rsidRPr="00204677">
        <w:rPr>
          <w:rFonts w:ascii="Times New Roman" w:eastAsia="Times New Roman" w:hAnsi="Times New Roman" w:cs="Times New Roman"/>
          <w:color w:val="555555"/>
          <w:sz w:val="24"/>
          <w:szCs w:val="24"/>
        </w:rPr>
        <w:t>VII</w:t>
      </w:r>
      <w:r w:rsidRPr="00204677">
        <w:rPr>
          <w:rFonts w:ascii="Times New Roman" w:eastAsia="Times New Roman" w:hAnsi="Times New Roman" w:cs="Times New Roman"/>
          <w:color w:val="555555"/>
          <w:sz w:val="24"/>
          <w:szCs w:val="24"/>
          <w:lang w:val="ru-RU"/>
        </w:rPr>
        <w:t xml:space="preserve"> скликання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Автор: комісія з питань</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містобудування, будівництва, земельних</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відносин та охорони природи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t>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w:t>
      </w: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Керуючись статтями 26, 59 Закону України «Про місцеве самоврядування в Україні»,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 2245-19 від 07.12.2017 року, Податковим кодексом України № 2755-</w:t>
      </w:r>
      <w:r w:rsidRPr="00204677">
        <w:rPr>
          <w:rFonts w:ascii="Times New Roman" w:eastAsia="Times New Roman" w:hAnsi="Times New Roman" w:cs="Times New Roman"/>
          <w:color w:val="555555"/>
          <w:sz w:val="24"/>
          <w:szCs w:val="24"/>
        </w:rPr>
        <w:t>VI</w:t>
      </w:r>
      <w:r w:rsidRPr="00204677">
        <w:rPr>
          <w:rFonts w:ascii="Times New Roman" w:eastAsia="Times New Roman" w:hAnsi="Times New Roman" w:cs="Times New Roman"/>
          <w:color w:val="555555"/>
          <w:sz w:val="24"/>
          <w:szCs w:val="24"/>
          <w:lang w:val="ru-RU"/>
        </w:rPr>
        <w:t xml:space="preserve"> від 02.12.2010, Крижанівська сільська рада Лиманського району Одеської області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color w:val="555555"/>
          <w:sz w:val="24"/>
          <w:szCs w:val="24"/>
        </w:rPr>
        <w:t>В И Р І Ш И Л А:</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1"/>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color w:val="555555"/>
          <w:sz w:val="21"/>
          <w:szCs w:val="21"/>
          <w:lang w:val="ru-RU"/>
        </w:rPr>
        <w:t>Встановити на 2020 рік на території Крижанівської сільської ради податок на майно в частині плати за землю згідно з Положенням (додаток №1).</w:t>
      </w:r>
    </w:p>
    <w:p w:rsidR="00204677" w:rsidRPr="00204677" w:rsidRDefault="00204677" w:rsidP="00204677">
      <w:pPr>
        <w:numPr>
          <w:ilvl w:val="0"/>
          <w:numId w:val="1"/>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color w:val="555555"/>
          <w:sz w:val="21"/>
          <w:szCs w:val="21"/>
          <w:lang w:val="ru-RU"/>
        </w:rPr>
        <w:t>Встановити ставки земельного податку на території Крижанівської сільської ради (додаток № 2).</w:t>
      </w:r>
    </w:p>
    <w:p w:rsidR="00204677" w:rsidRPr="00204677" w:rsidRDefault="00204677" w:rsidP="00204677">
      <w:pPr>
        <w:numPr>
          <w:ilvl w:val="0"/>
          <w:numId w:val="1"/>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color w:val="555555"/>
          <w:sz w:val="21"/>
          <w:szCs w:val="21"/>
          <w:lang w:val="ru-RU"/>
        </w:rPr>
        <w:t>Оприлюднити дане рішення у засобах масової інформації.</w:t>
      </w:r>
    </w:p>
    <w:p w:rsidR="00204677" w:rsidRPr="00204677" w:rsidRDefault="00204677" w:rsidP="00204677">
      <w:pPr>
        <w:numPr>
          <w:ilvl w:val="0"/>
          <w:numId w:val="1"/>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color w:val="555555"/>
          <w:sz w:val="21"/>
          <w:szCs w:val="21"/>
          <w:lang w:val="ru-RU"/>
        </w:rPr>
        <w:t>Рішення набуває законної сили з моменту опублікування, але не раніше 01.01.2020 року.</w:t>
      </w:r>
    </w:p>
    <w:p w:rsidR="00204677" w:rsidRPr="00204677" w:rsidRDefault="00204677" w:rsidP="00204677">
      <w:pPr>
        <w:numPr>
          <w:ilvl w:val="0"/>
          <w:numId w:val="1"/>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color w:val="555555"/>
          <w:sz w:val="21"/>
          <w:szCs w:val="21"/>
          <w:lang w:val="ru-RU"/>
        </w:rPr>
        <w:t>Рекомендувати органам державної фіскальної служби інформувати Крижанівську сільську раду про сплату земельного податку за землю на території Крижанівської сільської ради в розрізі земельних ділянок та власників земельних ділянок (землекористувачів).</w:t>
      </w:r>
    </w:p>
    <w:p w:rsidR="00204677" w:rsidRPr="00204677" w:rsidRDefault="00204677" w:rsidP="00204677">
      <w:pPr>
        <w:numPr>
          <w:ilvl w:val="0"/>
          <w:numId w:val="1"/>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color w:val="555555"/>
          <w:sz w:val="21"/>
          <w:szCs w:val="21"/>
          <w:lang w:val="ru-RU"/>
        </w:rPr>
        <w:t>Контроль за виконанням даного рішення покласти на постійну депутатську комісію з питань планування фінансів, бюджету та соціально-економічного розвитку сільської ради (Клюкас О.П.).</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Додаток № 1 до проекту рішення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lastRenderedPageBreak/>
        <w:t>Положення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t>про податок на майно, в частині плати за землю</w:t>
      </w:r>
    </w:p>
    <w:p w:rsidR="00204677" w:rsidRPr="00204677" w:rsidRDefault="00204677" w:rsidP="00204677">
      <w:pPr>
        <w:numPr>
          <w:ilvl w:val="0"/>
          <w:numId w:val="2"/>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Загальне положення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204677" w:rsidRPr="00204677" w:rsidRDefault="00204677" w:rsidP="00204677">
      <w:pPr>
        <w:numPr>
          <w:ilvl w:val="0"/>
          <w:numId w:val="3"/>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Платники</w:t>
      </w:r>
      <w:r w:rsidRPr="00204677">
        <w:rPr>
          <w:rFonts w:ascii="Times New Roman" w:eastAsia="Times New Roman" w:hAnsi="Times New Roman" w:cs="Times New Roman"/>
          <w:color w:val="555555"/>
          <w:sz w:val="21"/>
          <w:szCs w:val="21"/>
        </w:rPr>
        <w:t> </w:t>
      </w:r>
      <w:r w:rsidRPr="00204677">
        <w:rPr>
          <w:rFonts w:ascii="Times New Roman" w:eastAsia="Times New Roman" w:hAnsi="Times New Roman" w:cs="Times New Roman"/>
          <w:b/>
          <w:bCs/>
          <w:color w:val="555555"/>
          <w:sz w:val="21"/>
          <w:szCs w:val="21"/>
        </w:rPr>
        <w:t>земельного податку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2.1. Платниками податку є:</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2.1.1. власники земельних ділянок;</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2.1.2. землекористувачі.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2.2. Особливості справляння податку суб’єктами господарювання, які застосовують спрощену систему оподаткування, обліку та звітності, встановлюються Податковим кодексом України.</w:t>
      </w:r>
    </w:p>
    <w:p w:rsidR="00204677" w:rsidRPr="00204677" w:rsidRDefault="00204677" w:rsidP="00204677">
      <w:pPr>
        <w:numPr>
          <w:ilvl w:val="0"/>
          <w:numId w:val="4"/>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Об’єкт оподаткування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3.1. Об’єктами оподаткування є земельні ділянки, які перебувають у власності або користуванні.</w:t>
      </w:r>
    </w:p>
    <w:p w:rsidR="00204677" w:rsidRPr="00204677" w:rsidRDefault="00204677" w:rsidP="00204677">
      <w:pPr>
        <w:numPr>
          <w:ilvl w:val="0"/>
          <w:numId w:val="5"/>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База оподаткування земельним податком</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4.1. Базою оподаткування є нормативна грошова оцінка земельних ділянок з урахуванням коефіцієнта індексації.</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xml:space="preserve">4.2. Рішення щодо нормативної грошової оцінки земельних ділянок, розташованих у межах населених пунктів, офіційно оприлюднюється Крижанівською сільською радою до 15 липня року, що передує бюджетному періоду, в якому планується застосування нормативної грошової оцінки земель або змін (плановий період). </w:t>
      </w:r>
      <w:r w:rsidRPr="00204677">
        <w:rPr>
          <w:rFonts w:ascii="Times New Roman" w:eastAsia="Times New Roman" w:hAnsi="Times New Roman" w:cs="Times New Roman"/>
          <w:color w:val="555555"/>
          <w:sz w:val="24"/>
          <w:szCs w:val="24"/>
          <w:lang w:val="ru-RU"/>
        </w:rPr>
        <w:t>В іншому разі норми відповідних рішень застосовуються не раніше початку бюджетного періоду, що настає за плановим періодом.</w:t>
      </w:r>
    </w:p>
    <w:p w:rsidR="00204677" w:rsidRPr="00204677" w:rsidRDefault="00204677" w:rsidP="00204677">
      <w:pPr>
        <w:numPr>
          <w:ilvl w:val="0"/>
          <w:numId w:val="6"/>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Ставка земельного податку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5.1. Ставки податку за земельні ділянки (незалежно від місця знаходження), встановлюються у розмірах, згідно з Додатком № 2 до цього рішення.</w:t>
      </w:r>
    </w:p>
    <w:p w:rsidR="00204677" w:rsidRPr="00204677" w:rsidRDefault="00204677" w:rsidP="00204677">
      <w:pPr>
        <w:numPr>
          <w:ilvl w:val="0"/>
          <w:numId w:val="7"/>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b/>
          <w:bCs/>
          <w:color w:val="555555"/>
          <w:sz w:val="21"/>
          <w:szCs w:val="21"/>
          <w:lang w:val="ru-RU"/>
        </w:rPr>
        <w:t>Податковий період для плати за землю</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6.1. Базовим податковим (звітним) періодом для плати за землю є календарний рік.</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04677" w:rsidRPr="00204677" w:rsidRDefault="00204677" w:rsidP="00204677">
      <w:pPr>
        <w:numPr>
          <w:ilvl w:val="0"/>
          <w:numId w:val="8"/>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7</w:t>
      </w:r>
      <w:r w:rsidRPr="00204677">
        <w:rPr>
          <w:rFonts w:ascii="Times New Roman" w:eastAsia="Times New Roman" w:hAnsi="Times New Roman" w:cs="Times New Roman"/>
          <w:b/>
          <w:bCs/>
          <w:color w:val="555555"/>
          <w:sz w:val="21"/>
          <w:szCs w:val="21"/>
        </w:rPr>
        <w:t>.Порядок обчислення плати за землю</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7.1. Підставою для нарахування земельного податку є дані державного земельного кадастру.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7.2.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Податковим кодексом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lastRenderedPageBreak/>
        <w:t>7.3.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7.4.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7.5.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Податковим кодексом України.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2) пропорційно належній частці кожної особи – якщо будівля перебуває у спільній частковій власності;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3) пропорційно належній частці кожної особи – якщо будівля перебуває у спільній сумісній власності і поділена в натурі.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7.7. Юридична особа зменшує податкові зобов’язання із земельного податку на суму пільг, які надаються фізичним особам відповідно</w:t>
      </w:r>
      <w:r w:rsidRPr="00204677">
        <w:rPr>
          <w:rFonts w:ascii="Times New Roman" w:eastAsia="Times New Roman" w:hAnsi="Times New Roman" w:cs="Times New Roman"/>
          <w:color w:val="555555"/>
          <w:sz w:val="24"/>
          <w:szCs w:val="24"/>
        </w:rPr>
        <w:t> </w:t>
      </w:r>
      <w:r w:rsidRPr="00204677">
        <w:rPr>
          <w:rFonts w:ascii="Times New Roman" w:eastAsia="Times New Roman" w:hAnsi="Times New Roman" w:cs="Times New Roman"/>
          <w:color w:val="555555"/>
          <w:sz w:val="24"/>
          <w:szCs w:val="24"/>
          <w:lang w:val="ru-RU"/>
        </w:rPr>
        <w:t xml:space="preserve"> до п. 9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України»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w:t>
      </w:r>
      <w:r w:rsidRPr="00204677">
        <w:rPr>
          <w:rFonts w:ascii="Times New Roman" w:eastAsia="Times New Roman" w:hAnsi="Times New Roman" w:cs="Times New Roman"/>
          <w:color w:val="555555"/>
          <w:sz w:val="24"/>
          <w:szCs w:val="24"/>
          <w:lang w:val="ru-RU"/>
        </w:rPr>
        <w:lastRenderedPageBreak/>
        <w:t>інвалідів або дітей-інвалідів, які перевозять інвалідів (дітей-інвалідів) з ураженням опорно-рухового апарату.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numPr>
          <w:ilvl w:val="0"/>
          <w:numId w:val="9"/>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Строк сплати плати за землю</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8.2. Облік фізичних осіб – платників податку і нарахування відповідних сум проводяться щороку до 1 травня.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8.5. Податок фізичними особами сплачується протягом 60 днів з дня вручення податкового повідомлення-рішення.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8.7. 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204677" w:rsidRPr="00204677" w:rsidRDefault="00204677" w:rsidP="00204677">
      <w:pPr>
        <w:numPr>
          <w:ilvl w:val="0"/>
          <w:numId w:val="10"/>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b/>
          <w:bCs/>
          <w:color w:val="555555"/>
          <w:sz w:val="21"/>
          <w:szCs w:val="21"/>
          <w:lang w:val="ru-RU"/>
        </w:rPr>
        <w:t>Пільги щодо сплати земельного податку для фізичних осіб</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9.1. Від сплати податку звільняються: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9.1.1. інваліди першої і другої групи;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9.1.2. фізичні особи, які виховують трьох і більше дітей віком до 18 років;</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9.1.3. пенсіонери (за віком);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lastRenderedPageBreak/>
        <w:t>9.1.4. ветерани війни та особи, на яких поширюється дія «Закону України «Про статус ветеранів війни, гарантії їх соціального захисту»;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9.1.5. фізичні особи, визнані законом особами, які постраждали внаслідок Чорнобильської катастрофи.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9.2. Звільнення від сплати податку за земельні ділянки, передбачене для відповідної категорії фізичних осіб пунктом 9.1. цього Положення, поширюється на одну земельну ділянку за кожним видом використання у межах граничних норм: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9.2.1. для будівництва та обслуговування житлового будинку, господарських будівель і споруд (присадибна ділянка) – не більш як 0,25 гектара;</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9.2.2. для індивідуального дачного будівництва – не більш як 0,10 гектара;</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9.2.3. для будівництва індивідуальних гаражів – не більш як 0,01 гектара;</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9.2.3. для ведення садівництва – не більш як 0,12 гектара.</w:t>
      </w:r>
    </w:p>
    <w:p w:rsidR="00204677" w:rsidRPr="00204677" w:rsidRDefault="00204677" w:rsidP="00204677">
      <w:pPr>
        <w:numPr>
          <w:ilvl w:val="0"/>
          <w:numId w:val="11"/>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b/>
          <w:bCs/>
          <w:color w:val="555555"/>
          <w:sz w:val="21"/>
          <w:szCs w:val="21"/>
          <w:lang w:val="ru-RU"/>
        </w:rPr>
        <w:t>Пільги щодо сплати земельного податку для юридичних осіб</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10.1. Від сплати податку звільняються юридичні особи: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 Комунальне підприємство «Надія» Крижанівської сільської ради Лиманського району Одеської області;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 Державне підприємство «Одеське лісове господарство» за земельну ділянку ландшафтного заказника місцевого значення «Лузанівський ліс» розташованої на території Крижанівської сільської ради Лиманського району Одеської області;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 дошкільні та загальноосвітні навчальні заклади, заклади культури, охорони здоров’я, соціального захисту, фізичної культури та спорту, установи та підприємства, які повністю утримуються за рахунок коштів місцевого, районного та державного бюджетів, а також релігійні організації.</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10.2. Від сплати податку звільняються дошкільні та загальноосвітні навчальні заклади, заклади культури, охорони здоров’я, соціального захисту, фізичної культури та спорту, установи та підприємства, які повністю утримуються за рахунок коштів місцевого, районного та державного бюджетів, а також</w:t>
      </w:r>
      <w:r w:rsidRPr="00204677">
        <w:rPr>
          <w:rFonts w:ascii="Times New Roman" w:eastAsia="Times New Roman" w:hAnsi="Times New Roman" w:cs="Times New Roman"/>
          <w:color w:val="555555"/>
          <w:sz w:val="24"/>
          <w:szCs w:val="24"/>
        </w:rPr>
        <w:t> </w:t>
      </w:r>
      <w:r w:rsidRPr="00204677">
        <w:rPr>
          <w:rFonts w:ascii="Times New Roman" w:eastAsia="Times New Roman" w:hAnsi="Times New Roman" w:cs="Times New Roman"/>
          <w:color w:val="555555"/>
          <w:sz w:val="24"/>
          <w:szCs w:val="24"/>
          <w:lang w:val="ru-RU"/>
        </w:rPr>
        <w:t xml:space="preserve"> релігійні організації.</w:t>
      </w:r>
    </w:p>
    <w:p w:rsidR="00204677" w:rsidRPr="00204677" w:rsidRDefault="00204677" w:rsidP="00204677">
      <w:pPr>
        <w:numPr>
          <w:ilvl w:val="0"/>
          <w:numId w:val="12"/>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b/>
          <w:bCs/>
          <w:color w:val="555555"/>
          <w:sz w:val="21"/>
          <w:szCs w:val="21"/>
          <w:lang w:val="ru-RU"/>
        </w:rPr>
        <w:t>Земельні ділянки, які не підлягають оподаткуванню земельним податком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11.1. Не сплачується податок за земельні ділянки, визначені ст. ст. 281, 282, 283 Податкового кодексу України.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numPr>
          <w:ilvl w:val="0"/>
          <w:numId w:val="13"/>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Особливості оподаткування платою за землю</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12.1. Крижанівська сільська рада встановлює ставки плати за землю та пільги щодо земельного податку, що сплачується на відповідній території.</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12.2.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lastRenderedPageBreak/>
        <w:t>12.3.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Ця норма не поширюється на платників, які отримали пільги зі сплати земельного податку, у разі надання ними будівель, споруд (їх частин) у тимчасове користування (оренду) іншим платникам-пільговикам.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12.4. Крижанівська сільська рада подає відповідному контролюючому органу за місцезнаходженням земельної ділянки рішення Крижанівської сільської ради щодо ставок земельного податку та наданих пільг зі сплати земельного податку юридичним та/або фізичним особам.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14"/>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Орендна плата</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Крижанівська сільська рада, згідно покладених на нього повноважень, до 1 лютого подає контролюючому органу переліки орендарів, з якими укладено договори оренди землі на поточний рік, та інформує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Форма надання інформації затверджується центральним органом виконавчої влади, що забезпечує формування державної податкової політики.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13.2. Платником орендної плати є орендар земельної ділянки.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13.3. Об’єктом оподаткування є земельна ділянка, надана в оренду.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13.4. Розмір та умови внесення орендної плати встановлюються у договорі оренди між орендодавцем (власником) і орендарем.</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13.5. Розмір орендної плати встановлюється у договорі оренди землі.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13.6. Плата за суборенду земельних ділянок не може перевищувати орендної плати.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13.7. Податковий період, порядок обчислення орендної плати, строк сплати та порядок її зарахування до бюджетів застосовується відповідно до вимог пп. 6-8 цього Положення.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13.8. Пільги по сплаті орендної плати не передбачені.</w:t>
      </w:r>
    </w:p>
    <w:p w:rsidR="00204677" w:rsidRPr="00204677" w:rsidRDefault="00204677" w:rsidP="00204677">
      <w:pPr>
        <w:numPr>
          <w:ilvl w:val="0"/>
          <w:numId w:val="15"/>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Індексація нормативної грошової оцінки земель</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14.1. Для визначення розміру земельного податку та орендної плати використовується нормативна грошова оцінка земельних ділянок.</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14.2. Нормативна грошова оцінка земельних ділянок підлягає індексації відповідно до діючого законодавства України.</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lastRenderedPageBreak/>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Додаток № 2 до проекту рішення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i/>
          <w:iCs/>
          <w:color w:val="555555"/>
          <w:sz w:val="24"/>
          <w:szCs w:val="24"/>
          <w:lang w:val="ru-RU"/>
        </w:rPr>
        <w:t>ПЕРЕЛІК</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i/>
          <w:iCs/>
          <w:color w:val="555555"/>
          <w:sz w:val="24"/>
          <w:szCs w:val="24"/>
          <w:lang w:val="ru-RU"/>
        </w:rPr>
        <w:t>категорій платників та розмір ставок земельного податку</w:t>
      </w:r>
      <w:r w:rsidRPr="00204677">
        <w:rPr>
          <w:rFonts w:ascii="Times New Roman" w:eastAsia="Times New Roman" w:hAnsi="Times New Roman" w:cs="Times New Roman"/>
          <w:b/>
          <w:bCs/>
          <w:i/>
          <w:iCs/>
          <w:color w:val="555555"/>
          <w:sz w:val="24"/>
          <w:szCs w:val="24"/>
        </w:rPr>
        <w:t>  </w:t>
      </w:r>
    </w:p>
    <w:p w:rsidR="00204677" w:rsidRPr="00204677" w:rsidRDefault="00204677" w:rsidP="00204677">
      <w:pPr>
        <w:spacing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tbl>
      <w:tblPr>
        <w:tblW w:w="16500" w:type="dxa"/>
        <w:tblCellMar>
          <w:top w:w="15" w:type="dxa"/>
          <w:left w:w="15" w:type="dxa"/>
          <w:bottom w:w="15" w:type="dxa"/>
          <w:right w:w="15" w:type="dxa"/>
        </w:tblCellMar>
        <w:tblLook w:val="04A0" w:firstRow="1" w:lastRow="0" w:firstColumn="1" w:lastColumn="0" w:noHBand="0" w:noVBand="1"/>
      </w:tblPr>
      <w:tblGrid>
        <w:gridCol w:w="810"/>
        <w:gridCol w:w="11058"/>
        <w:gridCol w:w="4632"/>
      </w:tblGrid>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b/>
                <w:bCs/>
                <w:sz w:val="20"/>
                <w:szCs w:val="20"/>
              </w:rPr>
              <w:t> </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 </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Категорії  платників земельного податку</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b/>
                <w:bCs/>
                <w:sz w:val="20"/>
                <w:szCs w:val="20"/>
                <w:lang w:val="ru-RU"/>
              </w:rPr>
              <w:t>Розмір ставки земельного податку, % від нормативної грошової оцінки землі (НГО)</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1</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2</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3</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1</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Державна прикордонна служба України, які повністю утримуються за рахунок державного або місцевого бюджетів</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0,0</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2</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sz w:val="20"/>
                <w:szCs w:val="20"/>
                <w:lang w:val="ru-RU"/>
              </w:rPr>
              <w:t>власники земельних ділянок (юридичні та фізичні особи), які мають належним чином оформлене право власності на земельну ділянку, за винятком платників, зазначених у пп. 4-8</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1,0</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3</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sz w:val="20"/>
                <w:szCs w:val="20"/>
                <w:lang w:val="ru-RU"/>
              </w:rPr>
              <w:t>землекористувачі (юридичні та фізичні особи), які використовують земельні ділянки без належним чином оформлених документів на право користування земельною ділянкою, за винятком платників, зазначених у п. 4-8</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3,0</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4</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sz w:val="20"/>
                <w:szCs w:val="20"/>
                <w:lang w:val="ru-RU"/>
              </w:rPr>
              <w:t>власники та користувачі сільськогосподарських угідь (фізичні особи) за один гектар:</w:t>
            </w:r>
          </w:p>
          <w:p w:rsidR="00204677" w:rsidRPr="00204677" w:rsidRDefault="00204677" w:rsidP="00204677">
            <w:pPr>
              <w:spacing w:after="150" w:line="240" w:lineRule="auto"/>
              <w:rPr>
                <w:rFonts w:ascii="Times New Roman" w:eastAsia="Times New Roman" w:hAnsi="Times New Roman" w:cs="Times New Roman"/>
                <w:sz w:val="24"/>
                <w:szCs w:val="24"/>
                <w:lang w:val="ru-RU"/>
              </w:rPr>
            </w:pPr>
            <w:r w:rsidRPr="00204677">
              <w:rPr>
                <w:rFonts w:ascii="Times New Roman" w:eastAsia="Times New Roman" w:hAnsi="Times New Roman" w:cs="Times New Roman"/>
                <w:sz w:val="24"/>
                <w:szCs w:val="24"/>
                <w:lang w:val="ru-RU"/>
              </w:rPr>
              <w:t>– для ріллі, сіножатей та пасовищ</w:t>
            </w:r>
          </w:p>
          <w:p w:rsidR="00204677" w:rsidRPr="00204677" w:rsidRDefault="00204677" w:rsidP="00204677">
            <w:pPr>
              <w:spacing w:after="150" w:line="240" w:lineRule="auto"/>
              <w:rPr>
                <w:rFonts w:ascii="Times New Roman" w:eastAsia="Times New Roman" w:hAnsi="Times New Roman" w:cs="Times New Roman"/>
                <w:sz w:val="24"/>
                <w:szCs w:val="24"/>
                <w:lang w:val="ru-RU"/>
              </w:rPr>
            </w:pPr>
            <w:r w:rsidRPr="00204677">
              <w:rPr>
                <w:rFonts w:ascii="Times New Roman" w:eastAsia="Times New Roman" w:hAnsi="Times New Roman" w:cs="Times New Roman"/>
                <w:sz w:val="24"/>
                <w:szCs w:val="24"/>
                <w:lang w:val="ru-RU"/>
              </w:rPr>
              <w:t>– для багаторічних насаджень</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b/>
                <w:bCs/>
                <w:sz w:val="20"/>
                <w:szCs w:val="20"/>
              </w:rPr>
              <w:t> </w:t>
            </w:r>
          </w:p>
          <w:p w:rsidR="00204677" w:rsidRPr="00204677" w:rsidRDefault="00204677" w:rsidP="00204677">
            <w:pPr>
              <w:spacing w:after="150" w:line="240" w:lineRule="auto"/>
              <w:rPr>
                <w:rFonts w:ascii="Times New Roman" w:eastAsia="Times New Roman" w:hAnsi="Times New Roman" w:cs="Times New Roman"/>
                <w:sz w:val="24"/>
                <w:szCs w:val="24"/>
                <w:lang w:val="ru-RU"/>
              </w:rPr>
            </w:pPr>
            <w:r w:rsidRPr="00204677">
              <w:rPr>
                <w:rFonts w:ascii="Times New Roman" w:eastAsia="Times New Roman" w:hAnsi="Times New Roman" w:cs="Times New Roman"/>
                <w:b/>
                <w:bCs/>
                <w:sz w:val="24"/>
                <w:szCs w:val="24"/>
              </w:rPr>
              <w:t> </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0,3</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0,3</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5</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громадяни, які використовують земельні ділянки для будівництва та обслуговування житлового будинку, господарських будівель та споруд (присадибна ділянка), для індивідуального дачного будівництва, для будівництва індивідуальних гаражів</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0,03</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6</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власники та користувачі земельних ділянок, які мають у постійному користуванні земельні ділянки зайняті для експлуатації та обслуговування магазинів, для розташування причалів човнів, для будівництва індивідуальних гаражів, для будівництва виробничої бази, під автостоянками для зберігання особистих транспортних засобів громадян, які використовуються без отримання прибутку, для будівництва автомобільних станцій зрідженого газу, для експлуатації та обслуговування ринків, для розміщення гаражних автомобільних стоянок</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 </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12</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7</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sz w:val="20"/>
                <w:szCs w:val="20"/>
                <w:lang w:val="ru-RU"/>
              </w:rPr>
              <w:t>власники та користувачі земельних ділянок, зайнятих</w:t>
            </w:r>
            <w:r w:rsidRPr="00204677">
              <w:rPr>
                <w:rFonts w:ascii="Times New Roman" w:eastAsia="Times New Roman" w:hAnsi="Times New Roman" w:cs="Times New Roman"/>
                <w:sz w:val="20"/>
                <w:szCs w:val="20"/>
              </w:rPr>
              <w:t> </w:t>
            </w:r>
            <w:r w:rsidRPr="00204677">
              <w:rPr>
                <w:rFonts w:ascii="Times New Roman" w:eastAsia="Times New Roman" w:hAnsi="Times New Roman" w:cs="Times New Roman"/>
                <w:sz w:val="20"/>
                <w:szCs w:val="20"/>
                <w:lang w:val="ru-RU"/>
              </w:rPr>
              <w:t xml:space="preserve"> садівницькими товариствами</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5</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8</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власники та користувачі земельних ділянок залізничного та авіаційного транспорту (крім земельних ділянок, на яких знаходяться окремо розташовані культурно-побутові будівлі та інші споруди, які оподатковуються на загальних підставах).</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 </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0,25</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lastRenderedPageBreak/>
              <w:t>9</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власники та користувачі земельних ділянок, які надані для розміщення об’єктів енергетики, що виробляють електричну енергію з відновлених джерел енергії, нормативно грошова оцінка яких не проведена</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 </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5</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10</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sz w:val="20"/>
                <w:szCs w:val="20"/>
                <w:lang w:val="ru-RU"/>
              </w:rPr>
              <w:t>власники вбудовано-прибудованих нежитлових приміщень, розташованих в житлових</w:t>
            </w:r>
            <w:r w:rsidRPr="00204677">
              <w:rPr>
                <w:rFonts w:ascii="Times New Roman" w:eastAsia="Times New Roman" w:hAnsi="Times New Roman" w:cs="Times New Roman"/>
                <w:sz w:val="20"/>
                <w:szCs w:val="20"/>
              </w:rPr>
              <w:t> </w:t>
            </w:r>
            <w:r w:rsidRPr="00204677">
              <w:rPr>
                <w:rFonts w:ascii="Times New Roman" w:eastAsia="Times New Roman" w:hAnsi="Times New Roman" w:cs="Times New Roman"/>
                <w:sz w:val="20"/>
                <w:szCs w:val="20"/>
                <w:lang w:val="ru-RU"/>
              </w:rPr>
              <w:t xml:space="preserve"> будинках</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3,0</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11.</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юридичні особи, які використовують земельні ділянки для будівництва та обслуговування житлового будинку, господарських будівель та споруд, для розміщення житлової та громадської забудови,</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b/>
                <w:bCs/>
                <w:sz w:val="20"/>
                <w:szCs w:val="20"/>
              </w:rPr>
              <w:t>1</w:t>
            </w:r>
          </w:p>
        </w:tc>
      </w:tr>
      <w:tr w:rsidR="00204677" w:rsidRPr="00204677" w:rsidTr="00204677">
        <w:tc>
          <w:tcPr>
            <w:tcW w:w="63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12</w:t>
            </w:r>
          </w:p>
        </w:tc>
        <w:tc>
          <w:tcPr>
            <w:tcW w:w="859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sz w:val="20"/>
                <w:szCs w:val="20"/>
                <w:lang w:val="ru-RU"/>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0" w:line="240" w:lineRule="auto"/>
              <w:rPr>
                <w:rFonts w:ascii="Times New Roman" w:eastAsia="Times New Roman" w:hAnsi="Times New Roman" w:cs="Times New Roman"/>
                <w:sz w:val="20"/>
                <w:szCs w:val="20"/>
                <w:lang w:val="ru-RU"/>
              </w:rPr>
            </w:pPr>
            <w:r w:rsidRPr="00204677">
              <w:rPr>
                <w:rFonts w:ascii="Times New Roman" w:eastAsia="Times New Roman" w:hAnsi="Times New Roman" w:cs="Times New Roman"/>
                <w:b/>
                <w:bCs/>
                <w:sz w:val="20"/>
                <w:szCs w:val="20"/>
              </w:rPr>
              <w:t> </w:t>
            </w:r>
          </w:p>
          <w:p w:rsidR="00204677" w:rsidRPr="00204677" w:rsidRDefault="00204677" w:rsidP="00204677">
            <w:pPr>
              <w:spacing w:after="150" w:line="240" w:lineRule="auto"/>
              <w:rPr>
                <w:rFonts w:ascii="Times New Roman" w:eastAsia="Times New Roman" w:hAnsi="Times New Roman" w:cs="Times New Roman"/>
                <w:sz w:val="24"/>
                <w:szCs w:val="24"/>
              </w:rPr>
            </w:pPr>
            <w:r w:rsidRPr="00204677">
              <w:rPr>
                <w:rFonts w:ascii="Times New Roman" w:eastAsia="Times New Roman" w:hAnsi="Times New Roman" w:cs="Times New Roman"/>
                <w:b/>
                <w:bCs/>
                <w:sz w:val="24"/>
                <w:szCs w:val="24"/>
              </w:rPr>
              <w:t>12</w:t>
            </w:r>
          </w:p>
        </w:tc>
      </w:tr>
    </w:tbl>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t>Аналіз регуляторного</w:t>
      </w:r>
      <w:r w:rsidRPr="00204677">
        <w:rPr>
          <w:rFonts w:ascii="Times New Roman" w:eastAsia="Times New Roman" w:hAnsi="Times New Roman" w:cs="Times New Roman"/>
          <w:b/>
          <w:bCs/>
          <w:color w:val="555555"/>
          <w:sz w:val="24"/>
          <w:szCs w:val="24"/>
        </w:rPr>
        <w:t> </w:t>
      </w:r>
      <w:r w:rsidRPr="00204677">
        <w:rPr>
          <w:rFonts w:ascii="Times New Roman" w:eastAsia="Times New Roman" w:hAnsi="Times New Roman" w:cs="Times New Roman"/>
          <w:b/>
          <w:bCs/>
          <w:color w:val="555555"/>
          <w:sz w:val="24"/>
          <w:szCs w:val="24"/>
          <w:lang w:val="ru-RU"/>
        </w:rPr>
        <w:t>впливу проекту рішення сільської ради</w:t>
      </w:r>
      <w:r w:rsidRPr="00204677">
        <w:rPr>
          <w:rFonts w:ascii="Times New Roman" w:eastAsia="Times New Roman" w:hAnsi="Times New Roman" w:cs="Times New Roman"/>
          <w:b/>
          <w:bCs/>
          <w:color w:val="555555"/>
          <w:sz w:val="24"/>
          <w:szCs w:val="24"/>
          <w:lang w:val="ru-RU"/>
        </w:rPr>
        <w:br/>
        <w:t>«Про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lang w:val="ru-RU"/>
        </w:rPr>
        <w:t xml:space="preserve">Аналіз регуляторного впливу проекту рішення сільської ради «Про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w:t>
      </w:r>
      <w:r w:rsidRPr="00204677">
        <w:rPr>
          <w:rFonts w:ascii="Times New Roman" w:eastAsia="Times New Roman" w:hAnsi="Times New Roman" w:cs="Times New Roman"/>
          <w:color w:val="555555"/>
          <w:sz w:val="24"/>
          <w:szCs w:val="24"/>
        </w:rPr>
        <w:t>Кабінету Міністрів України від 11.03.04 №308.</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16"/>
        </w:numPr>
        <w:spacing w:after="0" w:line="240" w:lineRule="auto"/>
        <w:ind w:left="300"/>
        <w:rPr>
          <w:rFonts w:ascii="Times New Roman" w:eastAsia="Times New Roman" w:hAnsi="Times New Roman" w:cs="Times New Roman"/>
          <w:color w:val="555555"/>
          <w:sz w:val="21"/>
          <w:szCs w:val="21"/>
          <w:lang w:val="ru-RU"/>
        </w:rPr>
      </w:pPr>
      <w:r w:rsidRPr="00204677">
        <w:rPr>
          <w:rFonts w:ascii="Times New Roman" w:eastAsia="Times New Roman" w:hAnsi="Times New Roman" w:cs="Times New Roman"/>
          <w:b/>
          <w:bCs/>
          <w:color w:val="555555"/>
          <w:sz w:val="21"/>
          <w:szCs w:val="21"/>
          <w:lang w:val="ru-RU"/>
        </w:rPr>
        <w:t>Визначення</w:t>
      </w:r>
      <w:r w:rsidRPr="00204677">
        <w:rPr>
          <w:rFonts w:ascii="Times New Roman" w:eastAsia="Times New Roman" w:hAnsi="Times New Roman" w:cs="Times New Roman"/>
          <w:b/>
          <w:bCs/>
          <w:color w:val="555555"/>
          <w:sz w:val="21"/>
          <w:szCs w:val="21"/>
        </w:rPr>
        <w:t> </w:t>
      </w:r>
      <w:r w:rsidRPr="00204677">
        <w:rPr>
          <w:rFonts w:ascii="Times New Roman" w:eastAsia="Times New Roman" w:hAnsi="Times New Roman" w:cs="Times New Roman"/>
          <w:b/>
          <w:bCs/>
          <w:color w:val="555555"/>
          <w:sz w:val="21"/>
          <w:szCs w:val="21"/>
          <w:lang w:val="ru-RU"/>
        </w:rPr>
        <w:t>та аналіз проблеми, яку пропонується розв’язати шляхом регулювання господарських відносин.</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2019 року, що передує бюджетному періоду, в якому планується їх застосування.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Даним проектом рішення пропонується затвердити рішення сільської ради «Про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 з додатками до цього рішення.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lastRenderedPageBreak/>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своєчасністю та повнотою проведення платежів.</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Таким чином з 01.01.2020 року сплата місцевих податків та зборів повинна здійснюватися відповідно до рішення сільської ради «Про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lang w:val="ru-RU"/>
        </w:rPr>
        <w:t xml:space="preserve">Вказана проблема не може бути вирішена за допомогою ринкових механізмів, оскільки статтею </w:t>
      </w:r>
      <w:r w:rsidRPr="00204677">
        <w:rPr>
          <w:rFonts w:ascii="Times New Roman" w:eastAsia="Times New Roman" w:hAnsi="Times New Roman" w:cs="Times New Roman"/>
          <w:color w:val="555555"/>
          <w:sz w:val="24"/>
          <w:szCs w:val="24"/>
        </w:rPr>
        <w:t>26 Закону України «Про місцеве самоврядування в Україні» визначено, що до виключної компетенції сільської ради належить встановлення місцевих податків і зборів відповідно до Податкового кодексу України.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17"/>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Цілі регулювання.</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Основними цілями прийняття пропонованого регуляторного акту є:</w:t>
      </w:r>
    </w:p>
    <w:p w:rsidR="00204677" w:rsidRPr="00204677" w:rsidRDefault="00204677" w:rsidP="00204677">
      <w:pPr>
        <w:numPr>
          <w:ilvl w:val="0"/>
          <w:numId w:val="18"/>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визначення переліку податків та зборів, що мають справлятися на території селищної ради;</w:t>
      </w:r>
    </w:p>
    <w:p w:rsidR="00204677" w:rsidRPr="00204677" w:rsidRDefault="00204677" w:rsidP="00204677">
      <w:pPr>
        <w:numPr>
          <w:ilvl w:val="0"/>
          <w:numId w:val="18"/>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встановлення відносин, що виникають у сфері справляння місцевих податків та зборів;</w:t>
      </w:r>
    </w:p>
    <w:p w:rsidR="00204677" w:rsidRPr="00204677" w:rsidRDefault="00204677" w:rsidP="00204677">
      <w:pPr>
        <w:numPr>
          <w:ilvl w:val="0"/>
          <w:numId w:val="18"/>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встановлення розмірів ставок місцевих податків та зборів в межах визначених Податковим кодексом України із врахуванням потреб територіальної громади;</w:t>
      </w:r>
    </w:p>
    <w:p w:rsidR="00204677" w:rsidRPr="00204677" w:rsidRDefault="00204677" w:rsidP="00204677">
      <w:pPr>
        <w:numPr>
          <w:ilvl w:val="0"/>
          <w:numId w:val="18"/>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здійснення планування та прогнозування надходжень від місцевих податків та зборів при формуванні сільського бюджету.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19"/>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Визначення та оцінка усіх прийнятих альтернативних способів досягнення зазначених цілей.</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та зборів відповідно до переліку і в межах установлених граничних розмірів ставок.</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У разі не встановлення рішеннями органів місцевого самоврядування, місцевих податків та зборів, передбачених пунктом 10.3 статті 10 Кодексу, такі податки та збори сплачуються платниками у порядку, встановленому Кодексом та за мінімальними ставками та без застосування відповідних коефіцієнтів.</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Неприйняття рішення «Про встановлення місцевих податків та зборів» спричинить значні втрати дохідної частини селищного бюджету.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20"/>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Механізм розв’язання проблеми.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Даним регуляторним актом передбачається встановити на території селищної ради місцеві податки та збори, їх ставки та порядок сплати.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xml:space="preserve">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w:t>
      </w:r>
      <w:r w:rsidRPr="00204677">
        <w:rPr>
          <w:rFonts w:ascii="Times New Roman" w:eastAsia="Times New Roman" w:hAnsi="Times New Roman" w:cs="Times New Roman"/>
          <w:color w:val="555555"/>
          <w:sz w:val="24"/>
          <w:szCs w:val="24"/>
        </w:rPr>
        <w:lastRenderedPageBreak/>
        <w:t>прозорості та врахування громадської думки та пропозицій суб’єктів підприємницької діяльності.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21"/>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Обґрунтування можливості досягнення встановлених цілей у разі прийняття запропонованого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Прийняття цього регуляторного акту забезпечить належне справляння місцевих податків та зборів.</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Відповідно до статті 73 Закону України «Про місцеве самоврядування в Україні» рішення, прийняті органами місцевого самоврядування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чіткої процедури сплати місцевих податків та зборів.</w:t>
      </w:r>
    </w:p>
    <w:p w:rsidR="00204677" w:rsidRPr="00204677" w:rsidRDefault="00204677" w:rsidP="00204677">
      <w:pPr>
        <w:numPr>
          <w:ilvl w:val="0"/>
          <w:numId w:val="22"/>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Аналіз вигоди та витрат. Очікувані вигоди та витрати через прийняття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Дія зазначеного регуляторного акту поширюється на фізичних осіб, юридичних осіб, органи місцевого самоврядування, територіальну громаду.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Для визначення очікуваних результатів прийняття запропонованого регуляторного акту, які виникають у різних груп суб’єктів, на яких поширюється дія цього акту, наведена таблиця аналізу вигоди та витрат.</w:t>
      </w:r>
    </w:p>
    <w:p w:rsidR="00204677" w:rsidRPr="00204677" w:rsidRDefault="00204677" w:rsidP="00204677">
      <w:pPr>
        <w:spacing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tbl>
      <w:tblPr>
        <w:tblW w:w="16500" w:type="dxa"/>
        <w:tblCellMar>
          <w:top w:w="15" w:type="dxa"/>
          <w:left w:w="15" w:type="dxa"/>
          <w:bottom w:w="15" w:type="dxa"/>
          <w:right w:w="15" w:type="dxa"/>
        </w:tblCellMar>
        <w:tblLook w:val="04A0" w:firstRow="1" w:lastRow="0" w:firstColumn="1" w:lastColumn="0" w:noHBand="0" w:noVBand="1"/>
      </w:tblPr>
      <w:tblGrid>
        <w:gridCol w:w="4784"/>
        <w:gridCol w:w="6466"/>
        <w:gridCol w:w="5250"/>
      </w:tblGrid>
      <w:tr w:rsidR="00204677" w:rsidRPr="00204677" w:rsidTr="00204677">
        <w:tc>
          <w:tcPr>
            <w:tcW w:w="354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Сфера впливу</w:t>
            </w:r>
          </w:p>
        </w:tc>
        <w:tc>
          <w:tcPr>
            <w:tcW w:w="47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Вигода</w:t>
            </w:r>
          </w:p>
        </w:tc>
        <w:tc>
          <w:tcPr>
            <w:tcW w:w="38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Витрати</w:t>
            </w:r>
          </w:p>
        </w:tc>
      </w:tr>
      <w:tr w:rsidR="00204677" w:rsidRPr="00204677" w:rsidTr="00204677">
        <w:tc>
          <w:tcPr>
            <w:tcW w:w="354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Для територіальної громади</w:t>
            </w:r>
          </w:p>
        </w:tc>
        <w:tc>
          <w:tcPr>
            <w:tcW w:w="47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Надходження до селищного бюджету, своєчасне фінансування бюджетної сфери, здійснення робіт по благоустрою</w:t>
            </w:r>
          </w:p>
        </w:tc>
        <w:tc>
          <w:tcPr>
            <w:tcW w:w="38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Відсутні</w:t>
            </w:r>
          </w:p>
        </w:tc>
      </w:tr>
      <w:tr w:rsidR="00204677" w:rsidRPr="00204677" w:rsidTr="00204677">
        <w:tc>
          <w:tcPr>
            <w:tcW w:w="354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Органи місцевого самоврядування</w:t>
            </w:r>
          </w:p>
        </w:tc>
        <w:tc>
          <w:tcPr>
            <w:tcW w:w="47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Чітке встановлення ставок місцевих податків та зборів</w:t>
            </w:r>
          </w:p>
        </w:tc>
        <w:tc>
          <w:tcPr>
            <w:tcW w:w="38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Процедура розробки та прийняття регуляторного акту</w:t>
            </w:r>
          </w:p>
        </w:tc>
      </w:tr>
      <w:tr w:rsidR="00204677" w:rsidRPr="00204677" w:rsidTr="00204677">
        <w:tc>
          <w:tcPr>
            <w:tcW w:w="3540"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Фізичні та юридичні особи</w:t>
            </w:r>
          </w:p>
        </w:tc>
        <w:tc>
          <w:tcPr>
            <w:tcW w:w="47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Прозорість дій місцевих органів влади</w:t>
            </w:r>
          </w:p>
        </w:tc>
        <w:tc>
          <w:tcPr>
            <w:tcW w:w="3885"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204677" w:rsidRPr="00204677" w:rsidRDefault="00204677" w:rsidP="00204677">
            <w:pPr>
              <w:spacing w:after="300" w:line="240" w:lineRule="auto"/>
              <w:rPr>
                <w:rFonts w:ascii="Times New Roman" w:eastAsia="Times New Roman" w:hAnsi="Times New Roman" w:cs="Times New Roman"/>
                <w:sz w:val="20"/>
                <w:szCs w:val="20"/>
              </w:rPr>
            </w:pPr>
            <w:r w:rsidRPr="00204677">
              <w:rPr>
                <w:rFonts w:ascii="Times New Roman" w:eastAsia="Times New Roman" w:hAnsi="Times New Roman" w:cs="Times New Roman"/>
                <w:sz w:val="20"/>
                <w:szCs w:val="20"/>
              </w:rPr>
              <w:t>Витрати, пов’язані зі сплатою податку</w:t>
            </w:r>
          </w:p>
        </w:tc>
      </w:tr>
    </w:tbl>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23"/>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Обґрунтування строку дії запропонованого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lastRenderedPageBreak/>
        <w:t>Зазначений проект нормативно-правового акту є загальнообов’язковим до застосування на території селищної ради та має необмежений термін дії.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24"/>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Показники результативності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Для визначення результативності цього регуляторного акту пропонується встановити такі загальні показники: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динаміка кількості платників (в розрізі місцевих податків та зборів);</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обсяги надходжень відповідних місцевих податків та зборів.</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numPr>
          <w:ilvl w:val="0"/>
          <w:numId w:val="25"/>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color w:val="555555"/>
          <w:sz w:val="21"/>
          <w:szCs w:val="21"/>
        </w:rPr>
        <w:t>Заходи, за допомогою яких буде здійснюватися відстеження результативності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Цільова група: фізичні та юридичні особи-платники місцевих податків т зборів.</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Базове відстеження результативності регуляторного акту буде проведене після набрання чинності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Повторне відстеження результативності рішення селищної ради буде здійснено через рік після набрання ним чинності.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i/>
          <w:iCs/>
          <w:color w:val="555555"/>
          <w:sz w:val="24"/>
          <w:szCs w:val="24"/>
        </w:rPr>
        <w:t>Експертний висновок</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i/>
          <w:iCs/>
          <w:color w:val="555555"/>
          <w:sz w:val="24"/>
          <w:szCs w:val="24"/>
        </w:rPr>
        <w:t>постійної депутатської комісії з прав людини, регламенту, депутатської діяльності, етики, законності, регуляторної політики та конфлікту інтересів Крижанівської сільської ради Лиманського району Одеської області «Про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i/>
          <w:iCs/>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Постійна депутатська комісії з прав людини, регламенту, депутатської діяльності, етики, законності, регуляторної політики та конфлікту інтересів Крижанівської сільської ради 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 з аналізом його регуляторного впливу та встановила наступне.</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Розробником проекту регуляторного акту є комісія з питань містобудування, будівництва, земельних відносин та охорони природи Крижанівської сільської ради.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Проект рішення підготовлено відповідно до Податкового кодексу України.</w:t>
      </w:r>
    </w:p>
    <w:p w:rsidR="00204677" w:rsidRPr="00204677" w:rsidRDefault="00204677" w:rsidP="00204677">
      <w:pPr>
        <w:numPr>
          <w:ilvl w:val="0"/>
          <w:numId w:val="26"/>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Відповідність проекту регуляторного акту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lastRenderedPageBreak/>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2019 рік, проведені роботи з регуляторної процедури: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 розміщено повідомлення про оприлюднення проекту регуляторного акту та безпосередньо проект з аналізом його регуляторного впливу, про що проінформовано членів територіальної громади  на офіційному сайті Крижанівської сільської ради в мережі Інтернет за адресою: fontanska-rada.gov.ua.</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Зауваження та пропозиції до проекту рішення від фізичних та юридичних осіб не надходили.</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Таким чином, проект регуляторного акту – «Про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 з аналізом його регуляторного впливу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204677" w:rsidRPr="00204677" w:rsidRDefault="00204677" w:rsidP="00204677">
      <w:pPr>
        <w:numPr>
          <w:ilvl w:val="0"/>
          <w:numId w:val="27"/>
        </w:numPr>
        <w:spacing w:after="0" w:line="240" w:lineRule="auto"/>
        <w:ind w:left="300"/>
        <w:rPr>
          <w:rFonts w:ascii="Times New Roman" w:eastAsia="Times New Roman" w:hAnsi="Times New Roman" w:cs="Times New Roman"/>
          <w:color w:val="555555"/>
          <w:sz w:val="21"/>
          <w:szCs w:val="21"/>
        </w:rPr>
      </w:pPr>
      <w:r w:rsidRPr="00204677">
        <w:rPr>
          <w:rFonts w:ascii="Times New Roman" w:eastAsia="Times New Roman" w:hAnsi="Times New Roman" w:cs="Times New Roman"/>
          <w:b/>
          <w:bCs/>
          <w:color w:val="555555"/>
          <w:sz w:val="21"/>
          <w:szCs w:val="21"/>
        </w:rPr>
        <w:t>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Стосовно вищевказаного проекту рішення розроблено аналіз регуляторного впливу, який був підготовлений до оприлюднення проекту регуляторного акта з метою одержання зауважень та пропозицій.</w:t>
      </w:r>
    </w:p>
    <w:p w:rsidR="00204677" w:rsidRPr="00204677" w:rsidRDefault="00204677" w:rsidP="00204677">
      <w:pPr>
        <w:spacing w:after="150"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color w:val="555555"/>
          <w:sz w:val="24"/>
          <w:szCs w:val="24"/>
        </w:rPr>
        <w:t>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обґрунтовано, чому визначена проблема не може бути розв’язана за допомогою ринкових механізмів і потребує державного регулювання, або  визначена проблема не може бути розв’язана за допомогою діючих регуляторних актів, та розглянуто можливість внесення змін до них.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Визначено цілі державного регулювання, та оцінено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аргументовано переваги обраного способу досягнення встановлених цілей. Описано механізми та заходи, які забезпечать розв’язання визначеної проблеми шляхом прийняття запропонованого регуляторного акту та обґрунтовано можливість досягнення встановлених цілей. У разі прийняття запропонованого регуляторного акту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t>Оцінено можливість впровадження та виконання вимог регуляторного акту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акту.</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lang w:val="ru-RU"/>
        </w:rPr>
        <w:lastRenderedPageBreak/>
        <w:t>Обґрунтовано строк чинності регуляторного акту, визначено показники результативності регуляторного акту та заходи, за допомогою яких буде здійснюватися відстеження результативності регуляторного акту в разі його прийняття.</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lang w:val="ru-RU"/>
        </w:rPr>
        <w:t>Узагальнений висновок:</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b/>
          <w:bCs/>
          <w:color w:val="555555"/>
          <w:sz w:val="24"/>
          <w:szCs w:val="24"/>
        </w:rPr>
        <w:t>  </w:t>
      </w:r>
      <w:r w:rsidRPr="00204677">
        <w:rPr>
          <w:rFonts w:ascii="Times New Roman" w:eastAsia="Times New Roman" w:hAnsi="Times New Roman" w:cs="Times New Roman"/>
          <w:color w:val="555555"/>
          <w:sz w:val="24"/>
          <w:szCs w:val="24"/>
          <w:lang w:val="ru-RU"/>
        </w:rPr>
        <w:t>Постійна депутатська комісії з прав людини, регламенту, депутатської діяльності, етики, законності, регуляторної політики та конфлікту інтересів Крижанівської сільської ради за підсумками розгляду вважає, що проект регуляторного акта – проект рішення сільської ради «Про встановлення податку на майно, в частині плати за землю та пільг по земельному податку на території Крижанівської сільської ради Лиманського району Одеської області» та аналіз його регуляторного впливу відповідають вимогам ст. ст. 4, 8 Закону України «Про засади державної регуляторної політики у сфері господарської діяльності».</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after="150" w:line="240" w:lineRule="auto"/>
        <w:rPr>
          <w:rFonts w:ascii="Times New Roman" w:eastAsia="Times New Roman" w:hAnsi="Times New Roman" w:cs="Times New Roman"/>
          <w:color w:val="555555"/>
          <w:sz w:val="24"/>
          <w:szCs w:val="24"/>
          <w:lang w:val="ru-RU"/>
        </w:rPr>
      </w:pPr>
      <w:r w:rsidRPr="00204677">
        <w:rPr>
          <w:rFonts w:ascii="Times New Roman" w:eastAsia="Times New Roman" w:hAnsi="Times New Roman" w:cs="Times New Roman"/>
          <w:color w:val="555555"/>
          <w:sz w:val="24"/>
          <w:szCs w:val="24"/>
        </w:rPr>
        <w:t> </w:t>
      </w:r>
    </w:p>
    <w:p w:rsidR="00204677" w:rsidRPr="00204677" w:rsidRDefault="00204677" w:rsidP="00204677">
      <w:pPr>
        <w:spacing w:line="240" w:lineRule="auto"/>
        <w:rPr>
          <w:rFonts w:ascii="Times New Roman" w:eastAsia="Times New Roman" w:hAnsi="Times New Roman" w:cs="Times New Roman"/>
          <w:color w:val="555555"/>
          <w:sz w:val="24"/>
          <w:szCs w:val="24"/>
        </w:rPr>
      </w:pPr>
      <w:r w:rsidRPr="00204677">
        <w:rPr>
          <w:rFonts w:ascii="Times New Roman" w:eastAsia="Times New Roman" w:hAnsi="Times New Roman" w:cs="Times New Roman"/>
          <w:b/>
          <w:bCs/>
          <w:color w:val="555555"/>
          <w:sz w:val="24"/>
          <w:szCs w:val="24"/>
        </w:rPr>
        <w:t>Голова комісії                                                                                 С.В. Спельнік</w:t>
      </w:r>
    </w:p>
    <w:p w:rsidR="00F112A7" w:rsidRPr="00204677" w:rsidRDefault="00F112A7" w:rsidP="00204677">
      <w:bookmarkStart w:id="0" w:name="_GoBack"/>
      <w:bookmarkEnd w:id="0"/>
    </w:p>
    <w:sectPr w:rsidR="00F112A7" w:rsidRPr="0020467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37"/>
    <w:multiLevelType w:val="multilevel"/>
    <w:tmpl w:val="BAF28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42F82"/>
    <w:multiLevelType w:val="multilevel"/>
    <w:tmpl w:val="9BEA0D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D62C8"/>
    <w:multiLevelType w:val="multilevel"/>
    <w:tmpl w:val="BE6EFB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E6764"/>
    <w:multiLevelType w:val="multilevel"/>
    <w:tmpl w:val="7D6E6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44C6"/>
    <w:multiLevelType w:val="multilevel"/>
    <w:tmpl w:val="529245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6694A"/>
    <w:multiLevelType w:val="multilevel"/>
    <w:tmpl w:val="17D010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4503E"/>
    <w:multiLevelType w:val="multilevel"/>
    <w:tmpl w:val="345C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74D16"/>
    <w:multiLevelType w:val="multilevel"/>
    <w:tmpl w:val="0554BB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A3FEB"/>
    <w:multiLevelType w:val="multilevel"/>
    <w:tmpl w:val="9218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F5F18"/>
    <w:multiLevelType w:val="multilevel"/>
    <w:tmpl w:val="AC82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92008"/>
    <w:multiLevelType w:val="multilevel"/>
    <w:tmpl w:val="103E86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94C81"/>
    <w:multiLevelType w:val="multilevel"/>
    <w:tmpl w:val="539AC4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C303AE"/>
    <w:multiLevelType w:val="multilevel"/>
    <w:tmpl w:val="CA28E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677C5"/>
    <w:multiLevelType w:val="multilevel"/>
    <w:tmpl w:val="18B8B0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3C6D2A"/>
    <w:multiLevelType w:val="multilevel"/>
    <w:tmpl w:val="844A92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64BB9"/>
    <w:multiLevelType w:val="multilevel"/>
    <w:tmpl w:val="830A8E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C72F95"/>
    <w:multiLevelType w:val="multilevel"/>
    <w:tmpl w:val="537AF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305B41"/>
    <w:multiLevelType w:val="multilevel"/>
    <w:tmpl w:val="51686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E1677"/>
    <w:multiLevelType w:val="multilevel"/>
    <w:tmpl w:val="194E2E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977654"/>
    <w:multiLevelType w:val="multilevel"/>
    <w:tmpl w:val="939C47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724741"/>
    <w:multiLevelType w:val="multilevel"/>
    <w:tmpl w:val="963C0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F619E7"/>
    <w:multiLevelType w:val="multilevel"/>
    <w:tmpl w:val="F51A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472648"/>
    <w:multiLevelType w:val="multilevel"/>
    <w:tmpl w:val="B7F84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7649D4"/>
    <w:multiLevelType w:val="multilevel"/>
    <w:tmpl w:val="19505F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3D136E"/>
    <w:multiLevelType w:val="multilevel"/>
    <w:tmpl w:val="117C06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8F5AD8"/>
    <w:multiLevelType w:val="multilevel"/>
    <w:tmpl w:val="C0589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F37ED5"/>
    <w:multiLevelType w:val="multilevel"/>
    <w:tmpl w:val="F3EA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20"/>
  </w:num>
  <w:num w:numId="4">
    <w:abstractNumId w:val="25"/>
  </w:num>
  <w:num w:numId="5">
    <w:abstractNumId w:val="17"/>
  </w:num>
  <w:num w:numId="6">
    <w:abstractNumId w:val="14"/>
  </w:num>
  <w:num w:numId="7">
    <w:abstractNumId w:val="15"/>
  </w:num>
  <w:num w:numId="8">
    <w:abstractNumId w:val="18"/>
  </w:num>
  <w:num w:numId="9">
    <w:abstractNumId w:val="1"/>
  </w:num>
  <w:num w:numId="10">
    <w:abstractNumId w:val="23"/>
  </w:num>
  <w:num w:numId="11">
    <w:abstractNumId w:val="13"/>
  </w:num>
  <w:num w:numId="12">
    <w:abstractNumId w:val="24"/>
  </w:num>
  <w:num w:numId="13">
    <w:abstractNumId w:val="5"/>
  </w:num>
  <w:num w:numId="14">
    <w:abstractNumId w:val="4"/>
  </w:num>
  <w:num w:numId="15">
    <w:abstractNumId w:val="10"/>
  </w:num>
  <w:num w:numId="16">
    <w:abstractNumId w:val="9"/>
  </w:num>
  <w:num w:numId="17">
    <w:abstractNumId w:val="22"/>
  </w:num>
  <w:num w:numId="18">
    <w:abstractNumId w:val="8"/>
  </w:num>
  <w:num w:numId="19">
    <w:abstractNumId w:val="0"/>
  </w:num>
  <w:num w:numId="20">
    <w:abstractNumId w:val="12"/>
  </w:num>
  <w:num w:numId="21">
    <w:abstractNumId w:val="3"/>
  </w:num>
  <w:num w:numId="22">
    <w:abstractNumId w:val="19"/>
  </w:num>
  <w:num w:numId="23">
    <w:abstractNumId w:val="11"/>
  </w:num>
  <w:num w:numId="24">
    <w:abstractNumId w:val="2"/>
  </w:num>
  <w:num w:numId="25">
    <w:abstractNumId w:val="7"/>
  </w:num>
  <w:num w:numId="26">
    <w:abstractNumId w:val="6"/>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36"/>
    <w:rsid w:val="00204677"/>
    <w:rsid w:val="00433436"/>
    <w:rsid w:val="00440B05"/>
    <w:rsid w:val="00492426"/>
    <w:rsid w:val="00715EEE"/>
    <w:rsid w:val="007D3A25"/>
    <w:rsid w:val="008753B9"/>
    <w:rsid w:val="00B47D4A"/>
    <w:rsid w:val="00C12D6B"/>
    <w:rsid w:val="00F112A7"/>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F0E1-BAC2-44D0-9A6B-F7AF5AD1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384">
      <w:bodyDiv w:val="1"/>
      <w:marLeft w:val="0"/>
      <w:marRight w:val="0"/>
      <w:marTop w:val="0"/>
      <w:marBottom w:val="0"/>
      <w:divBdr>
        <w:top w:val="none" w:sz="0" w:space="0" w:color="auto"/>
        <w:left w:val="none" w:sz="0" w:space="0" w:color="auto"/>
        <w:bottom w:val="none" w:sz="0" w:space="0" w:color="auto"/>
        <w:right w:val="none" w:sz="0" w:space="0" w:color="auto"/>
      </w:divBdr>
    </w:div>
    <w:div w:id="205874513">
      <w:bodyDiv w:val="1"/>
      <w:marLeft w:val="0"/>
      <w:marRight w:val="0"/>
      <w:marTop w:val="0"/>
      <w:marBottom w:val="0"/>
      <w:divBdr>
        <w:top w:val="none" w:sz="0" w:space="0" w:color="auto"/>
        <w:left w:val="none" w:sz="0" w:space="0" w:color="auto"/>
        <w:bottom w:val="none" w:sz="0" w:space="0" w:color="auto"/>
        <w:right w:val="none" w:sz="0" w:space="0" w:color="auto"/>
      </w:divBdr>
    </w:div>
    <w:div w:id="457651714">
      <w:bodyDiv w:val="1"/>
      <w:marLeft w:val="0"/>
      <w:marRight w:val="0"/>
      <w:marTop w:val="0"/>
      <w:marBottom w:val="0"/>
      <w:divBdr>
        <w:top w:val="none" w:sz="0" w:space="0" w:color="auto"/>
        <w:left w:val="none" w:sz="0" w:space="0" w:color="auto"/>
        <w:bottom w:val="none" w:sz="0" w:space="0" w:color="auto"/>
        <w:right w:val="none" w:sz="0" w:space="0" w:color="auto"/>
      </w:divBdr>
      <w:divsChild>
        <w:div w:id="1438401245">
          <w:marLeft w:val="0"/>
          <w:marRight w:val="0"/>
          <w:marTop w:val="450"/>
          <w:marBottom w:val="450"/>
          <w:divBdr>
            <w:top w:val="none" w:sz="0" w:space="0" w:color="auto"/>
            <w:left w:val="none" w:sz="0" w:space="0" w:color="auto"/>
            <w:bottom w:val="none" w:sz="0" w:space="0" w:color="auto"/>
            <w:right w:val="none" w:sz="0" w:space="0" w:color="auto"/>
          </w:divBdr>
          <w:divsChild>
            <w:div w:id="45496620">
              <w:marLeft w:val="0"/>
              <w:marRight w:val="0"/>
              <w:marTop w:val="100"/>
              <w:marBottom w:val="100"/>
              <w:divBdr>
                <w:top w:val="none" w:sz="0" w:space="0" w:color="auto"/>
                <w:left w:val="none" w:sz="0" w:space="0" w:color="auto"/>
                <w:bottom w:val="none" w:sz="0" w:space="0" w:color="auto"/>
                <w:right w:val="none" w:sz="0" w:space="0" w:color="auto"/>
              </w:divBdr>
              <w:divsChild>
                <w:div w:id="220485121">
                  <w:marLeft w:val="0"/>
                  <w:marRight w:val="0"/>
                  <w:marTop w:val="0"/>
                  <w:marBottom w:val="0"/>
                  <w:divBdr>
                    <w:top w:val="none" w:sz="0" w:space="0" w:color="auto"/>
                    <w:left w:val="none" w:sz="0" w:space="0" w:color="auto"/>
                    <w:bottom w:val="none" w:sz="0" w:space="0" w:color="auto"/>
                    <w:right w:val="none" w:sz="0" w:space="0" w:color="auto"/>
                  </w:divBdr>
                  <w:divsChild>
                    <w:div w:id="917329025">
                      <w:marLeft w:val="0"/>
                      <w:marRight w:val="0"/>
                      <w:marTop w:val="0"/>
                      <w:marBottom w:val="0"/>
                      <w:divBdr>
                        <w:top w:val="none" w:sz="0" w:space="0" w:color="auto"/>
                        <w:left w:val="none" w:sz="0" w:space="0" w:color="auto"/>
                        <w:bottom w:val="none" w:sz="0" w:space="0" w:color="auto"/>
                        <w:right w:val="none" w:sz="0" w:space="0" w:color="auto"/>
                      </w:divBdr>
                      <w:divsChild>
                        <w:div w:id="1292445503">
                          <w:marLeft w:val="0"/>
                          <w:marRight w:val="0"/>
                          <w:marTop w:val="0"/>
                          <w:marBottom w:val="0"/>
                          <w:divBdr>
                            <w:top w:val="none" w:sz="0" w:space="0" w:color="auto"/>
                            <w:left w:val="none" w:sz="0" w:space="0" w:color="auto"/>
                            <w:bottom w:val="none" w:sz="0" w:space="0" w:color="auto"/>
                            <w:right w:val="none" w:sz="0" w:space="0" w:color="auto"/>
                          </w:divBdr>
                          <w:divsChild>
                            <w:div w:id="630205558">
                              <w:marLeft w:val="0"/>
                              <w:marRight w:val="0"/>
                              <w:marTop w:val="0"/>
                              <w:marBottom w:val="0"/>
                              <w:divBdr>
                                <w:top w:val="none" w:sz="0" w:space="0" w:color="auto"/>
                                <w:left w:val="none" w:sz="0" w:space="0" w:color="auto"/>
                                <w:bottom w:val="none" w:sz="0" w:space="0" w:color="auto"/>
                                <w:right w:val="none" w:sz="0" w:space="0" w:color="auto"/>
                              </w:divBdr>
                              <w:divsChild>
                                <w:div w:id="2053920031">
                                  <w:marLeft w:val="0"/>
                                  <w:marRight w:val="0"/>
                                  <w:marTop w:val="0"/>
                                  <w:marBottom w:val="0"/>
                                  <w:divBdr>
                                    <w:top w:val="none" w:sz="0" w:space="0" w:color="auto"/>
                                    <w:left w:val="none" w:sz="0" w:space="0" w:color="auto"/>
                                    <w:bottom w:val="none" w:sz="0" w:space="0" w:color="auto"/>
                                    <w:right w:val="none" w:sz="0" w:space="0" w:color="auto"/>
                                  </w:divBdr>
                                  <w:divsChild>
                                    <w:div w:id="661196951">
                                      <w:marLeft w:val="0"/>
                                      <w:marRight w:val="0"/>
                                      <w:marTop w:val="0"/>
                                      <w:marBottom w:val="300"/>
                                      <w:divBdr>
                                        <w:top w:val="none" w:sz="0" w:space="0" w:color="auto"/>
                                        <w:left w:val="none" w:sz="0" w:space="0" w:color="auto"/>
                                        <w:bottom w:val="none" w:sz="0" w:space="0" w:color="auto"/>
                                        <w:right w:val="none" w:sz="0" w:space="0" w:color="auto"/>
                                      </w:divBdr>
                                      <w:divsChild>
                                        <w:div w:id="1066879783">
                                          <w:marLeft w:val="0"/>
                                          <w:marRight w:val="0"/>
                                          <w:marTop w:val="0"/>
                                          <w:marBottom w:val="0"/>
                                          <w:divBdr>
                                            <w:top w:val="none" w:sz="0" w:space="0" w:color="auto"/>
                                            <w:left w:val="none" w:sz="0" w:space="0" w:color="auto"/>
                                            <w:bottom w:val="none" w:sz="0" w:space="0" w:color="auto"/>
                                            <w:right w:val="none" w:sz="0" w:space="0" w:color="auto"/>
                                          </w:divBdr>
                                          <w:divsChild>
                                            <w:div w:id="1941716497">
                                              <w:marLeft w:val="0"/>
                                              <w:marRight w:val="0"/>
                                              <w:marTop w:val="0"/>
                                              <w:marBottom w:val="0"/>
                                              <w:divBdr>
                                                <w:top w:val="none" w:sz="0" w:space="0" w:color="auto"/>
                                                <w:left w:val="none" w:sz="0" w:space="0" w:color="auto"/>
                                                <w:bottom w:val="none" w:sz="0" w:space="0" w:color="auto"/>
                                                <w:right w:val="none" w:sz="0" w:space="0" w:color="auto"/>
                                              </w:divBdr>
                                              <w:divsChild>
                                                <w:div w:id="128138130">
                                                  <w:marLeft w:val="0"/>
                                                  <w:marRight w:val="0"/>
                                                  <w:marTop w:val="0"/>
                                                  <w:marBottom w:val="0"/>
                                                  <w:divBdr>
                                                    <w:top w:val="none" w:sz="0" w:space="0" w:color="auto"/>
                                                    <w:left w:val="none" w:sz="0" w:space="0" w:color="auto"/>
                                                    <w:bottom w:val="none" w:sz="0" w:space="0" w:color="auto"/>
                                                    <w:right w:val="none" w:sz="0" w:space="0" w:color="auto"/>
                                                  </w:divBdr>
                                                  <w:divsChild>
                                                    <w:div w:id="7641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97369">
      <w:bodyDiv w:val="1"/>
      <w:marLeft w:val="0"/>
      <w:marRight w:val="0"/>
      <w:marTop w:val="0"/>
      <w:marBottom w:val="0"/>
      <w:divBdr>
        <w:top w:val="none" w:sz="0" w:space="0" w:color="auto"/>
        <w:left w:val="none" w:sz="0" w:space="0" w:color="auto"/>
        <w:bottom w:val="none" w:sz="0" w:space="0" w:color="auto"/>
        <w:right w:val="none" w:sz="0" w:space="0" w:color="auto"/>
      </w:divBdr>
    </w:div>
    <w:div w:id="1002468317">
      <w:bodyDiv w:val="1"/>
      <w:marLeft w:val="0"/>
      <w:marRight w:val="0"/>
      <w:marTop w:val="0"/>
      <w:marBottom w:val="0"/>
      <w:divBdr>
        <w:top w:val="none" w:sz="0" w:space="0" w:color="auto"/>
        <w:left w:val="none" w:sz="0" w:space="0" w:color="auto"/>
        <w:bottom w:val="none" w:sz="0" w:space="0" w:color="auto"/>
        <w:right w:val="none" w:sz="0" w:space="0" w:color="auto"/>
      </w:divBdr>
    </w:div>
    <w:div w:id="1337340240">
      <w:bodyDiv w:val="1"/>
      <w:marLeft w:val="0"/>
      <w:marRight w:val="0"/>
      <w:marTop w:val="0"/>
      <w:marBottom w:val="0"/>
      <w:divBdr>
        <w:top w:val="none" w:sz="0" w:space="0" w:color="auto"/>
        <w:left w:val="none" w:sz="0" w:space="0" w:color="auto"/>
        <w:bottom w:val="none" w:sz="0" w:space="0" w:color="auto"/>
        <w:right w:val="none" w:sz="0" w:space="0" w:color="auto"/>
      </w:divBdr>
    </w:div>
    <w:div w:id="15003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4611</Words>
  <Characters>26288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2021-04-19T07:03:00Z</dcterms:created>
  <dcterms:modified xsi:type="dcterms:W3CDTF">2021-04-19T08:35:00Z</dcterms:modified>
</cp:coreProperties>
</file>