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78" w:rsidRPr="009C7778" w:rsidRDefault="009C7778" w:rsidP="009C7778">
      <w:pPr>
        <w:shd w:val="clear" w:color="auto" w:fill="FFFFFF"/>
        <w:spacing w:after="150" w:line="240" w:lineRule="auto"/>
        <w:ind w:firstLine="6521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C7778">
        <w:rPr>
          <w:rFonts w:ascii="Arial" w:eastAsia="Times New Roman" w:hAnsi="Arial" w:cs="Arial"/>
          <w:color w:val="666666"/>
          <w:sz w:val="28"/>
          <w:szCs w:val="28"/>
        </w:rPr>
        <w:t>ЗАТВЕРДЖЕНО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6521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рішенням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сесії</w:t>
      </w:r>
      <w:proofErr w:type="spellEnd"/>
    </w:p>
    <w:p w:rsidR="009C7778" w:rsidRPr="009C7778" w:rsidRDefault="009C7778" w:rsidP="009C7778">
      <w:pPr>
        <w:shd w:val="clear" w:color="auto" w:fill="FFFFFF"/>
        <w:spacing w:after="150" w:line="240" w:lineRule="auto"/>
        <w:ind w:firstLine="6521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Фонтанської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сільської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ради</w:t>
      </w:r>
      <w:proofErr w:type="spellEnd"/>
    </w:p>
    <w:p w:rsidR="009C7778" w:rsidRPr="009C7778" w:rsidRDefault="009C7778" w:rsidP="009C7778">
      <w:pPr>
        <w:shd w:val="clear" w:color="auto" w:fill="FFFFFF"/>
        <w:spacing w:after="150" w:line="240" w:lineRule="auto"/>
        <w:ind w:firstLine="6521"/>
        <w:jc w:val="right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від 29.04.2016р № 1263-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VI</w:t>
      </w:r>
    </w:p>
    <w:p w:rsidR="009C7778" w:rsidRPr="009C7778" w:rsidRDefault="009C7778" w:rsidP="009C77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>ПОЛОЖЕННЯ</w:t>
      </w:r>
    </w:p>
    <w:p w:rsidR="009C7778" w:rsidRPr="009C7778" w:rsidRDefault="009C7778" w:rsidP="009C77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  <w:lang w:val="ru-RU"/>
        </w:rPr>
        <w:t>про порядок проведення громадського обговорення з питань, передбачених Законом України «Про добровільне об’єднання територіальних громад»</w:t>
      </w:r>
    </w:p>
    <w:p w:rsidR="009C7778" w:rsidRPr="009C7778" w:rsidRDefault="009C7778" w:rsidP="009C77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666666"/>
          <w:sz w:val="28"/>
          <w:szCs w:val="28"/>
        </w:rPr>
        <w:t>  </w:t>
      </w:r>
    </w:p>
    <w:p w:rsidR="009C7778" w:rsidRPr="009C7778" w:rsidRDefault="009C7778" w:rsidP="009C77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</w:rPr>
        <w:t>Загальні</w:t>
      </w:r>
      <w:proofErr w:type="spellEnd"/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</w:rPr>
        <w:t>положення</w:t>
      </w:r>
      <w:proofErr w:type="spellEnd"/>
    </w:p>
    <w:p w:rsidR="009C7778" w:rsidRPr="009C7778" w:rsidRDefault="009C7778" w:rsidP="009C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Положення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порядок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проведення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громадського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обговорення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з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питань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передбачених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Законом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України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«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добровільне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територіальних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» (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далі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–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Положення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)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розроблено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відповідно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Закону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України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«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добровільне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територіальних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», 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Закону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України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«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місцеве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самоврядування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в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Україні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»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з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урахуванням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постанови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Кабінету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Міністрів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України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від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03.11.2010 № 996 «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участі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громадськості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формуванні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та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реалізації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державної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політики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».</w:t>
      </w:r>
    </w:p>
    <w:p w:rsidR="009C7778" w:rsidRPr="009C7778" w:rsidRDefault="009C7778" w:rsidP="009C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Зазначеним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Положенням встановлюється порядок підготовки та проведення громадських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обговорень з питань, передбачених Законом України «Про добровільне об’єднання територіальних громад», а також порядок врахування їх результатів.</w:t>
      </w:r>
    </w:p>
    <w:p w:rsidR="009C7778" w:rsidRPr="009C7778" w:rsidRDefault="009C7778" w:rsidP="009C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Метою цього Порядку є створення нормативно-правової бази для реалізації законного права мешканців територіальної громади с. Фонтанка Комінтернівського району Одеської області на участь в обговоренні питань ініціативи, перспектив, наслідків і проектів рішень з питання добровільного об’єднання територіальної громади с. Фонтанка Комінтернівського району Одеської області з суміжними територіальними громадами, взаємодії органів місцевого самоврядування, що враховує взаємні інтереси територіальних громад та виключає виникнення соціальних конфліктів.</w:t>
      </w:r>
    </w:p>
    <w:p w:rsidR="009C7778" w:rsidRPr="009C7778" w:rsidRDefault="009C7778" w:rsidP="009C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Предметом громадського обговорення є пропозиції, заявлені відповідно до Закону України «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Про добровільне об’єднання територіальних громад» щодо добровільного об’єднання територіальної громади с. Фонтанказ суміжними територіальними 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lastRenderedPageBreak/>
        <w:t>громадами та проекти рішень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щодо добровільного об’єднання територіальної громади</w:t>
      </w:r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с. Фонтанказ суміжними територіальними громадами.</w:t>
      </w:r>
    </w:p>
    <w:p w:rsidR="009C7778" w:rsidRPr="009C7778" w:rsidRDefault="009C7778" w:rsidP="009C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Реалізація цього Порядку направлена на інформування громадськості про ініціативи та пропозиції щодо добровільного об’єднання територіальної громади</w:t>
      </w: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  <w:t>с. Фонтанка з суміжними територіальними громадами, з’ясування громадської думки з предмету та питань, що виносяться на громадське обговорення таприйняття рішення з обговорюваного питання.</w:t>
      </w:r>
    </w:p>
    <w:p w:rsidR="009C7778" w:rsidRPr="009C7778" w:rsidRDefault="009C7778" w:rsidP="009C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Участь у громадському обговоренні можуть брати фізичні особи, які є членами територіальної громади с. Фонтанка, залучені організаторами громадського обговорення фахівці, запрошені організаторами обговорення представники суміжних територіальних громад та/або посадові особи їх органів місцевого самоврядування.</w:t>
      </w:r>
    </w:p>
    <w:p w:rsidR="009C7778" w:rsidRPr="009C7778" w:rsidRDefault="009C7778" w:rsidP="009C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gram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Учасниками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громадського</w:t>
      </w:r>
      <w:proofErr w:type="gram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обговорення також є (можуть бути)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сільський голова Фонтанської сільської ради або особа, що виконує його обов’язки (далі – сільський голова), депутати Фонтанської сільської ради, члени виконавчого комітету Фонтанської сільської ради, інші зацікавлені особи за їх згодою.</w:t>
      </w:r>
    </w:p>
    <w:p w:rsidR="009C7778" w:rsidRPr="009C7778" w:rsidRDefault="009C7778" w:rsidP="009C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Під час проведення громадських обговорень не може чинитися перешкод для діяльності представників засобів масової інформації.</w:t>
      </w:r>
    </w:p>
    <w:p w:rsidR="009C7778" w:rsidRPr="009C7778" w:rsidRDefault="009C7778" w:rsidP="009C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Громадські обговорення мають відкритий характер, проводяться на засадах добровільності, гласності та свободи висловлювань.</w:t>
      </w:r>
    </w:p>
    <w:p w:rsidR="009C7778" w:rsidRPr="009C7778" w:rsidRDefault="009C7778" w:rsidP="009C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Ніхто з громадян не може бути примушений до участі або обмежений в участі при </w:t>
      </w:r>
      <w:proofErr w:type="gram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проведенні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громадських</w:t>
      </w:r>
      <w:proofErr w:type="gram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обговорень.</w:t>
      </w:r>
    </w:p>
    <w:p w:rsidR="009C7778" w:rsidRPr="009C7778" w:rsidRDefault="009C7778" w:rsidP="009C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Організаційно-технічне забезпечення проведення громадських обговорень здійснюється сільським головою та виконавчим комітетом </w:t>
      </w:r>
      <w:proofErr w:type="gram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сільської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ради</w:t>
      </w:r>
      <w:proofErr w:type="gram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. Витрати, пов’язані з підготовкою та проведенням громадських слухань, здійснюються за рахунок коштів місцевого бюджету.</w:t>
      </w:r>
    </w:p>
    <w:p w:rsidR="009C7778" w:rsidRPr="009C7778" w:rsidRDefault="009C7778" w:rsidP="009C77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</w:rPr>
        <w:t xml:space="preserve">2. </w:t>
      </w:r>
      <w:proofErr w:type="spellStart"/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</w:rPr>
        <w:t>Порядок</w:t>
      </w:r>
      <w:proofErr w:type="spellEnd"/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</w:rPr>
        <w:t>організації</w:t>
      </w:r>
      <w:proofErr w:type="spellEnd"/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</w:rPr>
        <w:t>громадських</w:t>
      </w:r>
      <w:proofErr w:type="spellEnd"/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</w:rPr>
        <w:t>обговорень</w:t>
      </w:r>
      <w:proofErr w:type="spellEnd"/>
      <w:r w:rsidRPr="009C7778">
        <w:rPr>
          <w:rFonts w:ascii="Arial" w:eastAsia="Times New Roman" w:hAnsi="Arial" w:cs="Arial"/>
          <w:b/>
          <w:bCs/>
          <w:color w:val="666666"/>
          <w:sz w:val="28"/>
          <w:szCs w:val="28"/>
        </w:rPr>
        <w:t>.</w:t>
      </w:r>
    </w:p>
    <w:p w:rsidR="009C7778" w:rsidRPr="009C7778" w:rsidRDefault="009C7778" w:rsidP="009C7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Громадське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обговорення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пропозицій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проектів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рішень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щодо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добровільного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територіальної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громади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с.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Фонтанказ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суміжними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територіальними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громадами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здійснюється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з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метою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забезпечення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дотримання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принципів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добровільного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територіальних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громад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сіл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селищ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міст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визначених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Законом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України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«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добровільне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територіальних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»,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зокрема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: 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конституційності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законності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;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добровільності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;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економічної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ефективності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; 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державної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підтримки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;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повсюдності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місцевого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lastRenderedPageBreak/>
        <w:t>самоврядування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;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прозорості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відкритості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;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відповідальності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; а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також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забезпечення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умов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визначених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Законом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зокрема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: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не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допущення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існування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у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складі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об’єднаної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територіальної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іншої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територіальної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яка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має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свій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представницький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орган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місцевого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самоврядування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;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нерозривності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об’єднаної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територіальної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межі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якої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визначаються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зовнішніх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межах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юрисдикції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рад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територіальних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що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об’єдналися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;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розташування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об’єднаної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територіальної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в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межах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Одеської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області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;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врахування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історичних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природних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етнічних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культурних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інших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чинників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що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впливають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на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соціально-економічний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розвиток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об’єднаної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територіальної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;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забезпечення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якості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доступності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публічних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послуг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що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надаються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в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об’єднаній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територіальній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на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рівні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не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нижчому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ніж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.</w:t>
      </w:r>
    </w:p>
    <w:p w:rsidR="009C7778" w:rsidRPr="009C7778" w:rsidRDefault="009C7778" w:rsidP="009C7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Сільський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голова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забезпечує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вивчення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пропозиції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щодо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ініціювання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добровільного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територіальних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та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її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громадське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обговорення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яке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проводиться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протягом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30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днів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з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надходження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такої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пропозиції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.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right="-79" w:firstLine="71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Громадське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обговорення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підготовлених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спільною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робочою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групою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проектів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рішень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щодо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добровільного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територіальних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громад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сільський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голова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забезпечує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протягом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60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днів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з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дня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їх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підготовки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.</w:t>
      </w:r>
    </w:p>
    <w:p w:rsidR="009C7778" w:rsidRPr="009C7778" w:rsidRDefault="009C7778" w:rsidP="009C77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Організацію громадських обговорень в с. Фонтанка з питань, визначених цим Порядком, здійснює сільський голова.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right="-79" w:firstLine="710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Організатор громадського обговорення самостійно визначає форми його проведення (конференція, форум, громадські слухання, громадські збори, засідання за круглим столом, збори, зустрічі та інше) виходячи з необхідності залучення якомога більшої кількості заінтересованих учасників та власних організаційних можливостей.</w:t>
      </w:r>
    </w:p>
    <w:p w:rsidR="009C7778" w:rsidRPr="009C7778" w:rsidRDefault="009C7778" w:rsidP="009C77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Сільський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голова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забезпечує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визначення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осіб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які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забезпечують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роботу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з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громадського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обговорення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пропозиції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щодо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ініціювання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добровільного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територіальних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громад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>, 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проектів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</w:rPr>
        <w:t>рішень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щодо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добровільного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територіальних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громад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тощо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оприлюднення інформації з питань громадського обговорення та їх результатів;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реєстрацію, розгляд та узагальнення пропозицій громадськості;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lastRenderedPageBreak/>
        <w:t>- підготовку відповідей на пропозиції, зауваження учасників громадського обговорення.</w:t>
      </w:r>
    </w:p>
    <w:p w:rsidR="009C7778" w:rsidRPr="009C7778" w:rsidRDefault="009C7778" w:rsidP="009C77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Сільський голова забезпечує проведення громадського обговорення</w:t>
      </w:r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пропозиції щодо ініціювання добровільного об’єднання територіальних громад тапроектів рішень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щодо добровільного об’єднання територіальної громади, про що письмово сповіщається ініціатор пропозиції (за винятком, коли ініціатором такої пропозиції є Фонтанський сільський голова).</w:t>
      </w:r>
    </w:p>
    <w:p w:rsidR="009C7778" w:rsidRPr="009C7778" w:rsidRDefault="009C7778" w:rsidP="009C77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Повідомлення про початок процедури громадського обговорення пропозиції щодо ініціювання добровільного об’єднання територіальних громад та проектів відповідних рішень оприлюднюється в день надходження пропозиції або проектів рішень шляхом опублікування такої інформації у засобах масової інформації, що поширюються (розповсюджуються) на території Фонтанської сільської ради та/або розміщення на інформаційному стенді сільської ради.</w:t>
      </w:r>
    </w:p>
    <w:p w:rsidR="009C7778" w:rsidRPr="009C7778" w:rsidRDefault="009C7778" w:rsidP="009C77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Повідомлення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повинно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містити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інформацію про зміст пропозиції або проектів рішень;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відомості про ініціатора пропозиції або проектів рішень;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інформацію про місце і строки громадського обговорення пропозиції або проектів рішень;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інформацію про форму громадського обговорення;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інформацію про посадову особу (осіб) Фонтанської сільської ради, відповідальну за організацію громадського обговорення;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інформацію стосовно запланованих інформаційних заходів (у разі їх наявності).</w:t>
      </w:r>
    </w:p>
    <w:p w:rsidR="009C7778" w:rsidRPr="009C7778" w:rsidRDefault="009C7778" w:rsidP="009C77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Пропозиції, зауваження до пропозиції щодо ініціювання добровільного об’єднання територіальних громад або проектів рішень мають право подавати: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повнолітні дієздатні фізичні особи, які є членами територіальної громади</w:t>
      </w: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  <w:t>с. Фонтанка Комінтернівського району;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представники органів самоорганізації населення, діяльність яких поширюється на територію с. Фонтанка;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депутати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Фонтанської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сільської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</w:rPr>
        <w:t>ради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:rsidR="009C7778" w:rsidRPr="009C7778" w:rsidRDefault="009C7778" w:rsidP="009C77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lastRenderedPageBreak/>
        <w:t>Зауваження до пропозиції або проектів рішень подаються протягом</w:t>
      </w: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  <w:t>25 (двадцяти п’яти) днів після опублікування інформації (оголошення) про проведення процедури громадського обговорення.</w:t>
      </w:r>
    </w:p>
    <w:p w:rsidR="009C7778" w:rsidRPr="009C7778" w:rsidRDefault="009C7778" w:rsidP="009C77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Пропозиції, зауваження тощо, подані особами, не визначеними пунктом 2.8 цього Порядку, або подані після встановленого строку, залишаються без розгляду.</w:t>
      </w:r>
    </w:p>
    <w:p w:rsidR="009C7778" w:rsidRPr="009C7778" w:rsidRDefault="009C7778" w:rsidP="009C77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Пропозиції, зауваження тощо подаються у письмовому вигляді із зазначенням прізвища, ім'я та по-батькові, місця проживання, скріплюються особистим підписом особи, а для представників органів самоорганізації та депутатів – додатково із зазначенням своєї посади або посиланням на статус депутата, і повинні містити мотивовані обґрунтування з урахуванням вимог</w:t>
      </w:r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Закону України «Про добровільне об’єднання територіальних громад».</w:t>
      </w:r>
    </w:p>
    <w:p w:rsidR="009C7778" w:rsidRPr="009C7778" w:rsidRDefault="009C7778" w:rsidP="009C77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Пропозиції, зауваження тощо, викладені у письмовій формі, підлягають реєстрації та розглядаються упродовж 5 робочих днів. За результатами розгляду заявнику в цей же термін надається письмова відповідь.</w:t>
      </w:r>
    </w:p>
    <w:p w:rsidR="009C7778" w:rsidRPr="009C7778" w:rsidRDefault="009C7778" w:rsidP="009C77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Анонімні пропозиції, зауваження не реєструються і не розглядаються.</w:t>
      </w:r>
    </w:p>
    <w:p w:rsidR="009C7778" w:rsidRPr="009C7778" w:rsidRDefault="009C7778" w:rsidP="009C77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b/>
          <w:bCs/>
          <w:color w:val="666666"/>
          <w:spacing w:val="-6"/>
          <w:sz w:val="28"/>
          <w:szCs w:val="28"/>
          <w:lang w:val="ru-RU"/>
        </w:rPr>
        <w:t>3. Порядок проведення та оприлюднення результатів громадських обговорень.</w:t>
      </w:r>
    </w:p>
    <w:p w:rsidR="009C7778" w:rsidRPr="009C7778" w:rsidRDefault="009C7778" w:rsidP="009C77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Громадське обговорення, в обраній згідно цього Порядку формі, проводиться в день, визначений сільським </w:t>
      </w:r>
      <w:proofErr w:type="gram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головою.Під</w:t>
      </w:r>
      <w:proofErr w:type="gram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час такого обговорення доповідається пропозиція щодо ініціювання добровільного об’єднання територіальних громад або</w:t>
      </w:r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проекти рішень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 добровільне об’єднання територіальної громади</w:t>
      </w:r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с. Фонтанказ суміжними територіальними громадами,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що є предметом обговорення, отримані пропозиції, зауваження з цього питання, результати їх розгляду.</w:t>
      </w:r>
    </w:p>
    <w:p w:rsidR="009C7778" w:rsidRPr="009C7778" w:rsidRDefault="009C7778" w:rsidP="009C77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За результатами громадського обговорення ведеться протокол. Протокол повинен містити перебіг обговорення, в тому числі інформацію про: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предмет, час і місце проведення громадського обговорення;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кількість учасників обговорення;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ініціатора пропозиції щодо ініціювання добровільного об’єднання територіальних громад;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організатора обговорення;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теми та короткий зміст доповідей і виступів учасників обговорення;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lastRenderedPageBreak/>
        <w:t>- пропозиції, висловлені в ході обговорення;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звернення та рекомендації учасників обговорення, тощо;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- результати голосування (у разі його проведення).</w:t>
      </w:r>
    </w:p>
    <w:p w:rsidR="009C7778" w:rsidRPr="009C7778" w:rsidRDefault="009C7778" w:rsidP="009C7778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gramStart"/>
      <w:r w:rsidRPr="009C7778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3.3</w:t>
      </w:r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Протокол</w:t>
      </w:r>
      <w:proofErr w:type="gram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громадського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обговорення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підписує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головуючий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секретар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які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є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посадовими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особами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сільської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ради.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Усі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зауваження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пропозиції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розглянуті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час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громадських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обговорень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можуть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повністю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чи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частково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бути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враховані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мотивовано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відхилені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Рекомендації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пропозиції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розглянуті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час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громадських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обговорень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можуть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бути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оприлюднені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засобах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масової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інформації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9C7778" w:rsidRPr="009C7778" w:rsidRDefault="009C7778" w:rsidP="009C77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Оприлюднення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результатів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громадського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обговорення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здійснюється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упродовж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5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робочих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днів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шляхом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опублікування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засобах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масової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інформації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поширюються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на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території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Фонтанської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сільської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ради та/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розміщення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на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інформаційному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стенді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сільської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ради.</w:t>
      </w:r>
    </w:p>
    <w:p w:rsidR="009C7778" w:rsidRPr="009C7778" w:rsidRDefault="009C7778" w:rsidP="009C77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Після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завершення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громадського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обговорення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пропозиція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щодо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ініціювання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добровільного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територіальних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громад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подається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Фонтанської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сільської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ради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Комінтернівського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району на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наступну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сесію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прийняття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рішення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про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надання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згоди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на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добровільне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територіальних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громад та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делегування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представника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(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представників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) до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спільної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робочої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групи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9C7778" w:rsidRPr="009C7778" w:rsidRDefault="009C7778" w:rsidP="009C77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Після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завершення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громадського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обговорення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підготовлених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спільною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робочою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групою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рішення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щодо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добровільного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об’єднання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територіальних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громад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сільський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голова вносить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питання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про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його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схвалення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на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розгляд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наступної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сесії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Фонтанської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сільської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ради, з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врахуванням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результатів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громадського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обговорення</w:t>
      </w:r>
      <w:proofErr w:type="spellEnd"/>
      <w:r w:rsidRPr="009C7778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9C7778" w:rsidRPr="009C7778" w:rsidRDefault="009C7778" w:rsidP="009C77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 w:rsidRPr="009C7778">
        <w:rPr>
          <w:rFonts w:ascii="Arial" w:eastAsia="Times New Roman" w:hAnsi="Arial" w:cs="Arial"/>
          <w:b/>
          <w:bCs/>
          <w:color w:val="666666"/>
          <w:spacing w:val="-6"/>
          <w:sz w:val="28"/>
          <w:szCs w:val="28"/>
        </w:rPr>
        <w:t>Прикінцеві</w:t>
      </w:r>
      <w:proofErr w:type="spellEnd"/>
      <w:r w:rsidRPr="009C7778">
        <w:rPr>
          <w:rFonts w:ascii="Arial" w:eastAsia="Times New Roman" w:hAnsi="Arial" w:cs="Arial"/>
          <w:b/>
          <w:bCs/>
          <w:color w:val="666666"/>
          <w:spacing w:val="-6"/>
          <w:sz w:val="28"/>
          <w:szCs w:val="28"/>
        </w:rPr>
        <w:t xml:space="preserve"> </w:t>
      </w:r>
      <w:proofErr w:type="spellStart"/>
      <w:r w:rsidRPr="009C7778">
        <w:rPr>
          <w:rFonts w:ascii="Arial" w:eastAsia="Times New Roman" w:hAnsi="Arial" w:cs="Arial"/>
          <w:b/>
          <w:bCs/>
          <w:color w:val="666666"/>
          <w:spacing w:val="-6"/>
          <w:sz w:val="28"/>
          <w:szCs w:val="28"/>
        </w:rPr>
        <w:t>положення</w:t>
      </w:r>
      <w:proofErr w:type="spellEnd"/>
      <w:r w:rsidRPr="009C7778">
        <w:rPr>
          <w:rFonts w:ascii="Arial" w:eastAsia="Times New Roman" w:hAnsi="Arial" w:cs="Arial"/>
          <w:b/>
          <w:bCs/>
          <w:color w:val="666666"/>
          <w:spacing w:val="-6"/>
          <w:sz w:val="28"/>
          <w:szCs w:val="28"/>
        </w:rPr>
        <w:t>.</w:t>
      </w:r>
    </w:p>
    <w:p w:rsidR="009C7778" w:rsidRPr="009C7778" w:rsidRDefault="009C7778" w:rsidP="009C77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Зміни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та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доповнення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до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цього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Положення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приймаються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виключно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на пленарному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засіданні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Фонтанської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сільської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ради.</w:t>
      </w:r>
    </w:p>
    <w:p w:rsidR="009C7778" w:rsidRPr="009C7778" w:rsidRDefault="009C7778" w:rsidP="009C77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spellStart"/>
      <w:r w:rsidRPr="009C7778">
        <w:rPr>
          <w:rFonts w:ascii="Arial" w:eastAsia="Times New Roman" w:hAnsi="Arial" w:cs="Arial"/>
          <w:color w:val="666666"/>
          <w:spacing w:val="-3"/>
          <w:sz w:val="28"/>
          <w:szCs w:val="28"/>
          <w:lang w:val="ru-RU"/>
        </w:rPr>
        <w:t>Питання</w:t>
      </w:r>
      <w:proofErr w:type="spellEnd"/>
      <w:r w:rsidRPr="009C7778">
        <w:rPr>
          <w:rFonts w:ascii="Arial" w:eastAsia="Times New Roman" w:hAnsi="Arial" w:cs="Arial"/>
          <w:color w:val="666666"/>
          <w:spacing w:val="-3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pacing w:val="-3"/>
          <w:sz w:val="28"/>
          <w:szCs w:val="28"/>
          <w:lang w:val="ru-RU"/>
        </w:rPr>
        <w:t>щодо</w:t>
      </w:r>
      <w:proofErr w:type="spellEnd"/>
      <w:r w:rsidRPr="009C7778">
        <w:rPr>
          <w:rFonts w:ascii="Arial" w:eastAsia="Times New Roman" w:hAnsi="Arial" w:cs="Arial"/>
          <w:color w:val="666666"/>
          <w:spacing w:val="-3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pacing w:val="-3"/>
          <w:sz w:val="28"/>
          <w:szCs w:val="28"/>
          <w:lang w:val="ru-RU"/>
        </w:rPr>
        <w:t>проведення</w:t>
      </w:r>
      <w:proofErr w:type="spellEnd"/>
      <w:r w:rsidRPr="009C7778">
        <w:rPr>
          <w:rFonts w:ascii="Arial" w:eastAsia="Times New Roman" w:hAnsi="Arial" w:cs="Arial"/>
          <w:color w:val="666666"/>
          <w:spacing w:val="-3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pacing w:val="-3"/>
          <w:sz w:val="28"/>
          <w:szCs w:val="28"/>
          <w:lang w:val="ru-RU"/>
        </w:rPr>
        <w:t>громадських</w:t>
      </w:r>
      <w:proofErr w:type="spellEnd"/>
      <w:r w:rsidRPr="009C7778">
        <w:rPr>
          <w:rFonts w:ascii="Arial" w:eastAsia="Times New Roman" w:hAnsi="Arial" w:cs="Arial"/>
          <w:color w:val="666666"/>
          <w:spacing w:val="-3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pacing w:val="-3"/>
          <w:sz w:val="28"/>
          <w:szCs w:val="28"/>
          <w:lang w:val="ru-RU"/>
        </w:rPr>
        <w:t>обговорень</w:t>
      </w:r>
      <w:proofErr w:type="spellEnd"/>
      <w:r w:rsidRPr="009C7778">
        <w:rPr>
          <w:rFonts w:ascii="Arial" w:eastAsia="Times New Roman" w:hAnsi="Arial" w:cs="Arial"/>
          <w:color w:val="666666"/>
          <w:spacing w:val="-3"/>
          <w:sz w:val="28"/>
          <w:szCs w:val="28"/>
          <w:lang w:val="ru-RU"/>
        </w:rPr>
        <w:t xml:space="preserve">, не </w:t>
      </w:r>
      <w:proofErr w:type="spellStart"/>
      <w:r w:rsidRPr="009C7778">
        <w:rPr>
          <w:rFonts w:ascii="Arial" w:eastAsia="Times New Roman" w:hAnsi="Arial" w:cs="Arial"/>
          <w:color w:val="666666"/>
          <w:spacing w:val="-3"/>
          <w:sz w:val="28"/>
          <w:szCs w:val="28"/>
          <w:lang w:val="ru-RU"/>
        </w:rPr>
        <w:t>врегульовані</w:t>
      </w:r>
      <w:proofErr w:type="spellEnd"/>
      <w:r w:rsidRPr="009C7778">
        <w:rPr>
          <w:rFonts w:ascii="Arial" w:eastAsia="Times New Roman" w:hAnsi="Arial" w:cs="Arial"/>
          <w:color w:val="666666"/>
          <w:spacing w:val="-3"/>
          <w:sz w:val="28"/>
          <w:szCs w:val="28"/>
        </w:rPr>
        <w:t> </w:t>
      </w:r>
      <w:proofErr w:type="spellStart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>цим</w:t>
      </w:r>
      <w:proofErr w:type="spellEnd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>Положенням</w:t>
      </w:r>
      <w:proofErr w:type="spellEnd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>регулюються</w:t>
      </w:r>
      <w:proofErr w:type="spellEnd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>відповідно</w:t>
      </w:r>
      <w:proofErr w:type="spellEnd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 xml:space="preserve"> до </w:t>
      </w:r>
      <w:proofErr w:type="spellStart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>вимог</w:t>
      </w:r>
      <w:proofErr w:type="spellEnd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 xml:space="preserve"> чинного </w:t>
      </w:r>
      <w:proofErr w:type="spellStart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>законодавства</w:t>
      </w:r>
      <w:proofErr w:type="spellEnd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>України</w:t>
      </w:r>
      <w:proofErr w:type="spellEnd"/>
      <w:r w:rsidRPr="009C7778">
        <w:rPr>
          <w:rFonts w:ascii="Arial" w:eastAsia="Times New Roman" w:hAnsi="Arial" w:cs="Arial"/>
          <w:color w:val="666666"/>
          <w:spacing w:val="-6"/>
          <w:sz w:val="28"/>
          <w:szCs w:val="28"/>
          <w:lang w:val="ru-RU"/>
        </w:rPr>
        <w:t>.</w:t>
      </w:r>
    </w:p>
    <w:p w:rsidR="009C7778" w:rsidRPr="009C7778" w:rsidRDefault="009C7778" w:rsidP="009C77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18"/>
          <w:szCs w:val="18"/>
          <w:lang w:val="ru-RU"/>
        </w:rPr>
      </w:pP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Вимоги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,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встановленні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цим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Положенням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, є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обов’язковими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для </w:t>
      </w:r>
      <w:proofErr w:type="spellStart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виконання</w:t>
      </w:r>
      <w:proofErr w:type="spellEnd"/>
      <w:r w:rsidRPr="009C7778">
        <w:rPr>
          <w:rFonts w:ascii="Arial" w:eastAsia="Times New Roman" w:hAnsi="Arial" w:cs="Arial"/>
          <w:color w:val="666666"/>
          <w:sz w:val="28"/>
          <w:szCs w:val="28"/>
          <w:lang w:val="ru-RU"/>
        </w:rPr>
        <w:t>.</w:t>
      </w:r>
      <w:r w:rsidRPr="009C7778">
        <w:rPr>
          <w:rFonts w:ascii="Arial" w:eastAsia="Times New Roman" w:hAnsi="Arial" w:cs="Arial"/>
          <w:color w:val="666666"/>
          <w:sz w:val="28"/>
          <w:szCs w:val="28"/>
        </w:rPr>
        <w:t>  </w:t>
      </w:r>
    </w:p>
    <w:p w:rsidR="001A3100" w:rsidRPr="009C7778" w:rsidRDefault="009C7778">
      <w:pPr>
        <w:rPr>
          <w:lang w:val="ru-RU"/>
        </w:rPr>
      </w:pPr>
      <w:bookmarkStart w:id="0" w:name="_GoBack"/>
      <w:bookmarkEnd w:id="0"/>
    </w:p>
    <w:sectPr w:rsidR="001A3100" w:rsidRPr="009C77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625"/>
    <w:multiLevelType w:val="multilevel"/>
    <w:tmpl w:val="BF4E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94532"/>
    <w:multiLevelType w:val="multilevel"/>
    <w:tmpl w:val="A438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80467"/>
    <w:multiLevelType w:val="multilevel"/>
    <w:tmpl w:val="2930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D6182"/>
    <w:multiLevelType w:val="multilevel"/>
    <w:tmpl w:val="1B9A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B42BA"/>
    <w:multiLevelType w:val="multilevel"/>
    <w:tmpl w:val="40AE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C7125"/>
    <w:multiLevelType w:val="multilevel"/>
    <w:tmpl w:val="E864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15584"/>
    <w:multiLevelType w:val="multilevel"/>
    <w:tmpl w:val="E650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13A9F"/>
    <w:multiLevelType w:val="multilevel"/>
    <w:tmpl w:val="429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42F17"/>
    <w:multiLevelType w:val="multilevel"/>
    <w:tmpl w:val="92B2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C38A9"/>
    <w:multiLevelType w:val="multilevel"/>
    <w:tmpl w:val="CDCE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F6118"/>
    <w:multiLevelType w:val="multilevel"/>
    <w:tmpl w:val="5ADA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4289C"/>
    <w:multiLevelType w:val="multilevel"/>
    <w:tmpl w:val="200C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73"/>
    <w:rsid w:val="004A3773"/>
    <w:rsid w:val="00715EEE"/>
    <w:rsid w:val="009C7778"/>
    <w:rsid w:val="00B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D3E9A-48CF-4B32-A695-2017FD9B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2021-04-07T08:27:00Z</dcterms:created>
  <dcterms:modified xsi:type="dcterms:W3CDTF">2021-04-07T08:27:00Z</dcterms:modified>
</cp:coreProperties>
</file>