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У К Р А Ї Н 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КРИЖАНІВСЬКА</w:t>
      </w:r>
      <w:r w:rsidRPr="008753B9">
        <w:rPr>
          <w:rFonts w:ascii="Segoe UI" w:eastAsia="Times New Roman" w:hAnsi="Segoe UI" w:cs="Segoe UI"/>
          <w:b/>
          <w:bCs/>
          <w:color w:val="555555"/>
          <w:sz w:val="24"/>
          <w:szCs w:val="24"/>
        </w:rPr>
        <w:t>  </w:t>
      </w:r>
      <w:r w:rsidRPr="008753B9">
        <w:rPr>
          <w:rFonts w:ascii="Segoe UI" w:eastAsia="Times New Roman" w:hAnsi="Segoe UI" w:cs="Segoe UI"/>
          <w:b/>
          <w:bCs/>
          <w:color w:val="555555"/>
          <w:sz w:val="24"/>
          <w:szCs w:val="24"/>
          <w:lang w:val="ru-RU"/>
        </w:rPr>
        <w:t xml:space="preserve"> СІЛЬСЬКА</w:t>
      </w:r>
      <w:r w:rsidRPr="008753B9">
        <w:rPr>
          <w:rFonts w:ascii="Segoe UI" w:eastAsia="Times New Roman" w:hAnsi="Segoe UI" w:cs="Segoe UI"/>
          <w:b/>
          <w:bCs/>
          <w:color w:val="555555"/>
          <w:sz w:val="24"/>
          <w:szCs w:val="24"/>
        </w:rPr>
        <w:t>  </w:t>
      </w:r>
      <w:r w:rsidRPr="008753B9">
        <w:rPr>
          <w:rFonts w:ascii="Segoe UI" w:eastAsia="Times New Roman" w:hAnsi="Segoe UI" w:cs="Segoe UI"/>
          <w:b/>
          <w:bCs/>
          <w:color w:val="555555"/>
          <w:sz w:val="24"/>
          <w:szCs w:val="24"/>
          <w:lang w:val="ru-RU"/>
        </w:rPr>
        <w:t xml:space="preserve"> РАДА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Проект рішення </w:t>
      </w:r>
      <w:r w:rsidRPr="008753B9">
        <w:rPr>
          <w:rFonts w:ascii="Segoe UI" w:eastAsia="Times New Roman" w:hAnsi="Segoe UI" w:cs="Segoe UI"/>
          <w:color w:val="555555"/>
          <w:sz w:val="24"/>
          <w:szCs w:val="24"/>
        </w:rPr>
        <w:t>XLI</w:t>
      </w:r>
      <w:r w:rsidRPr="008753B9">
        <w:rPr>
          <w:rFonts w:ascii="Segoe UI" w:eastAsia="Times New Roman" w:hAnsi="Segoe UI" w:cs="Segoe UI"/>
          <w:color w:val="555555"/>
          <w:sz w:val="24"/>
          <w:szCs w:val="24"/>
          <w:lang w:val="ru-RU"/>
        </w:rPr>
        <w:t xml:space="preserve"> сесії Крижанівської сільської ради </w:t>
      </w:r>
      <w:r w:rsidRPr="008753B9">
        <w:rPr>
          <w:rFonts w:ascii="Segoe UI" w:eastAsia="Times New Roman" w:hAnsi="Segoe UI" w:cs="Segoe UI"/>
          <w:color w:val="555555"/>
          <w:sz w:val="24"/>
          <w:szCs w:val="24"/>
        </w:rPr>
        <w:t>VII</w:t>
      </w:r>
      <w:r w:rsidRPr="008753B9">
        <w:rPr>
          <w:rFonts w:ascii="Segoe UI" w:eastAsia="Times New Roman" w:hAnsi="Segoe UI" w:cs="Segoe UI"/>
          <w:color w:val="555555"/>
          <w:sz w:val="24"/>
          <w:szCs w:val="24"/>
          <w:lang w:val="ru-RU"/>
        </w:rPr>
        <w:t xml:space="preserve"> скликання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Автор: депутат Спельнік С.В.</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Про встановлення ставки акцизного</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податку з юридичних та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фізичних осіб на території</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Крижанівської сільської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Відповідно до статті 69 Бюджетного кодексу України, керуючись ст. 10, ст. 12, ст. 212, ст. 213.1.9 та ст. 215.3.10 Податкового кодексу України,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 24 ч. 1 ст. 26, ст. ст. 59, 63, 69</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Закону України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«Про місцеве самоврядування в Україні», приймаючи до уваги 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 909-19 від 24.12.2015, </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№2245-19 від 07.12.2017,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№2628-</w:t>
      </w:r>
      <w:r w:rsidRPr="008753B9">
        <w:rPr>
          <w:rFonts w:ascii="Segoe UI" w:eastAsia="Times New Roman" w:hAnsi="Segoe UI" w:cs="Segoe UI"/>
          <w:color w:val="555555"/>
          <w:sz w:val="24"/>
          <w:szCs w:val="24"/>
        </w:rPr>
        <w:t>VIII</w:t>
      </w:r>
      <w:r w:rsidRPr="008753B9">
        <w:rPr>
          <w:rFonts w:ascii="Segoe UI" w:eastAsia="Times New Roman" w:hAnsi="Segoe UI" w:cs="Segoe UI"/>
          <w:color w:val="555555"/>
          <w:sz w:val="24"/>
          <w:szCs w:val="24"/>
          <w:lang w:val="ru-RU"/>
        </w:rPr>
        <w:t xml:space="preserve"> від 23.11.2018, </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з метою поповнення доходної частини бюджету, Крижанівська сільська рада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ВИРІШИЛА:</w:t>
      </w:r>
    </w:p>
    <w:p w:rsidR="008753B9" w:rsidRPr="008753B9" w:rsidRDefault="008753B9" w:rsidP="008753B9">
      <w:pPr>
        <w:numPr>
          <w:ilvl w:val="0"/>
          <w:numId w:val="14"/>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Встановити на території Крижанівської сільської ради Лиманського району Одеської області ставки акцизного податку на 2020 рік для підакцизних товарів у таких розмірах:</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5 % – від вартості товару для пива, алкогольних напоїв, тютюнових виробів, тютюну та промислових замінників тютюну, реалізованих відповідно до підпункту 213.1.9 пункту 213.1 статті 213, підпункту 215.3.10 пункту 215.3 статті 215 Податкового Кодексу України;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 0,042 євро за кожний літр реалізованого (відпущеного) товару – для нафтопродуктів, скрапленого газу, речовин, що використовуються як компоненти моторних палив, палива моторного альтернативного, реалізованих відповідно до підпункту 213.1.9 пункту 213.1 статті 213 </w:t>
      </w:r>
      <w:proofErr w:type="gramStart"/>
      <w:r w:rsidRPr="008753B9">
        <w:rPr>
          <w:rFonts w:ascii="Segoe UI" w:eastAsia="Times New Roman" w:hAnsi="Segoe UI" w:cs="Segoe UI"/>
          <w:color w:val="555555"/>
          <w:sz w:val="24"/>
          <w:szCs w:val="24"/>
          <w:lang w:val="ru-RU"/>
        </w:rPr>
        <w:t>Податкового</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Кодексу</w:t>
      </w:r>
      <w:proofErr w:type="gramEnd"/>
      <w:r w:rsidRPr="008753B9">
        <w:rPr>
          <w:rFonts w:ascii="Segoe UI" w:eastAsia="Times New Roman" w:hAnsi="Segoe UI" w:cs="Segoe UI"/>
          <w:color w:val="555555"/>
          <w:sz w:val="24"/>
          <w:szCs w:val="24"/>
          <w:lang w:val="ru-RU"/>
        </w:rPr>
        <w:t xml:space="preserve"> України.</w:t>
      </w:r>
    </w:p>
    <w:p w:rsidR="008753B9" w:rsidRPr="008753B9" w:rsidRDefault="008753B9" w:rsidP="008753B9">
      <w:pPr>
        <w:numPr>
          <w:ilvl w:val="0"/>
          <w:numId w:val="15"/>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lastRenderedPageBreak/>
        <w:t>Вважати таким, що втратило чинність рішення Крижанівської сільської ради «Про встановлення ставки акцизного податку з юридичних та фізичних осіб на території Крижанівської сільської ради» № 636-</w:t>
      </w:r>
      <w:r w:rsidRPr="008753B9">
        <w:rPr>
          <w:rFonts w:ascii="Segoe UI" w:eastAsia="Times New Roman" w:hAnsi="Segoe UI" w:cs="Segoe UI"/>
          <w:color w:val="555555"/>
          <w:sz w:val="21"/>
          <w:szCs w:val="21"/>
        </w:rPr>
        <w:t>V</w:t>
      </w:r>
      <w:r w:rsidRPr="008753B9">
        <w:rPr>
          <w:rFonts w:ascii="Segoe UI" w:eastAsia="Times New Roman" w:hAnsi="Segoe UI" w:cs="Segoe UI"/>
          <w:color w:val="555555"/>
          <w:sz w:val="21"/>
          <w:szCs w:val="21"/>
          <w:lang w:val="ru-RU"/>
        </w:rPr>
        <w:t>І</w:t>
      </w:r>
      <w:r w:rsidRPr="008753B9">
        <w:rPr>
          <w:rFonts w:ascii="Segoe UI" w:eastAsia="Times New Roman" w:hAnsi="Segoe UI" w:cs="Segoe UI"/>
          <w:color w:val="555555"/>
          <w:sz w:val="21"/>
          <w:szCs w:val="21"/>
        </w:rPr>
        <w:t>I</w:t>
      </w:r>
      <w:r w:rsidRPr="008753B9">
        <w:rPr>
          <w:rFonts w:ascii="Segoe UI" w:eastAsia="Times New Roman" w:hAnsi="Segoe UI" w:cs="Segoe UI"/>
          <w:color w:val="555555"/>
          <w:sz w:val="21"/>
          <w:szCs w:val="21"/>
          <w:lang w:val="ru-RU"/>
        </w:rPr>
        <w:t xml:space="preserve"> від 18.04.2018 року.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3. Секретарю сільської ради довести це рішення до відома Южненського управління ГУ ДФС в Одеській області та оприлюднити.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4. Це рішення набирає законної сили з моменту його оприлюднення але не раніше 01.01.2020 року.</w:t>
      </w:r>
    </w:p>
    <w:p w:rsidR="008753B9" w:rsidRPr="008753B9" w:rsidRDefault="008753B9" w:rsidP="008753B9">
      <w:pPr>
        <w:numPr>
          <w:ilvl w:val="0"/>
          <w:numId w:val="16"/>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Контроль за виконанням цього рішення покласти на постійну комісію з питань прав людини, регламенту, депутатської діяльності, етики, законності та регуляторної політики (Спельнік С.В.)</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АНАЛІЗ РЕГУЛЯТОРНОГО ВПЛИВУ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 xml:space="preserve">проекту рішення Крижанівської сільської ради «Про встановлення ставки акцизного податку з юридичних та фізичних осіб на території </w:t>
      </w:r>
      <w:proofErr w:type="gramStart"/>
      <w:r w:rsidRPr="008753B9">
        <w:rPr>
          <w:rFonts w:ascii="Segoe UI" w:eastAsia="Times New Roman" w:hAnsi="Segoe UI" w:cs="Segoe UI"/>
          <w:b/>
          <w:bCs/>
          <w:color w:val="555555"/>
          <w:sz w:val="24"/>
          <w:szCs w:val="24"/>
          <w:lang w:val="ru-RU"/>
        </w:rPr>
        <w:t>Крижанівської</w:t>
      </w:r>
      <w:r w:rsidRPr="008753B9">
        <w:rPr>
          <w:rFonts w:ascii="Segoe UI" w:eastAsia="Times New Roman" w:hAnsi="Segoe UI" w:cs="Segoe UI"/>
          <w:b/>
          <w:bCs/>
          <w:color w:val="555555"/>
          <w:sz w:val="24"/>
          <w:szCs w:val="24"/>
        </w:rPr>
        <w:t> </w:t>
      </w:r>
      <w:r w:rsidRPr="008753B9">
        <w:rPr>
          <w:rFonts w:ascii="Segoe UI" w:eastAsia="Times New Roman" w:hAnsi="Segoe UI" w:cs="Segoe UI"/>
          <w:b/>
          <w:bCs/>
          <w:color w:val="555555"/>
          <w:sz w:val="24"/>
          <w:szCs w:val="24"/>
          <w:lang w:val="ru-RU"/>
        </w:rPr>
        <w:t xml:space="preserve"> сільської</w:t>
      </w:r>
      <w:proofErr w:type="gramEnd"/>
      <w:r w:rsidRPr="008753B9">
        <w:rPr>
          <w:rFonts w:ascii="Segoe UI" w:eastAsia="Times New Roman" w:hAnsi="Segoe UI" w:cs="Segoe UI"/>
          <w:b/>
          <w:bCs/>
          <w:color w:val="555555"/>
          <w:sz w:val="24"/>
          <w:szCs w:val="24"/>
          <w:lang w:val="ru-RU"/>
        </w:rPr>
        <w:t xml:space="preserve">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І. Визначення проблеми, яку передбачається розв’язати шляхом державного регулювання.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Відповідно до п. 10.2 ст.10 Податкового кодексу України сільські ради своїм рішенням встановлюють ставки акцизного збору та офіційно оприлюднюють прийняте рішення згідно вимог чинного законодавства.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У разі не встановлення місцевих податків і зборів, рішеннями місцевого самоврядування такі податки і збори сплачуються платниками у порядку, встановленому Податковим Кодексом за мінімальними ставками та без застосування відповідних коефіцієнтів.</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Враховуючи вищевикладене, сільською радою щорічно розробляється проект рішення «Про встановлення ставки акцизного податку з юридичних та фізичних осіб на території </w:t>
      </w:r>
      <w:proofErr w:type="gramStart"/>
      <w:r w:rsidRPr="008753B9">
        <w:rPr>
          <w:rFonts w:ascii="Segoe UI" w:eastAsia="Times New Roman" w:hAnsi="Segoe UI" w:cs="Segoe UI"/>
          <w:color w:val="555555"/>
          <w:sz w:val="24"/>
          <w:szCs w:val="24"/>
          <w:lang w:val="ru-RU"/>
        </w:rPr>
        <w:t>Крижанівської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сільської</w:t>
      </w:r>
      <w:proofErr w:type="gramEnd"/>
      <w:r w:rsidRPr="008753B9">
        <w:rPr>
          <w:rFonts w:ascii="Segoe UI" w:eastAsia="Times New Roman" w:hAnsi="Segoe UI" w:cs="Segoe UI"/>
          <w:color w:val="555555"/>
          <w:sz w:val="24"/>
          <w:szCs w:val="24"/>
          <w:lang w:val="ru-RU"/>
        </w:rPr>
        <w:t xml:space="preserve"> ради» та офіційно оприлюднюється для отримання пропозицій та зауважень.</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Прийняття рішення впорядкує деякі питання ведення бізнесу, зменшить витрати часу платників податків та їх сплату, підвищить інвестиційну привабливість села.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Основні групи, на які проблема справляє вплив:</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7521"/>
        <w:gridCol w:w="5342"/>
        <w:gridCol w:w="3637"/>
      </w:tblGrid>
      <w:tr w:rsidR="008753B9" w:rsidRPr="008753B9" w:rsidTr="008753B9">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Групи</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підгрупи</w:t>
            </w:r>
            <w:proofErr w:type="spellEnd"/>
            <w:r w:rsidRPr="008753B9">
              <w:rPr>
                <w:rFonts w:ascii="Segoe UI" w:eastAsia="Times New Roman" w:hAnsi="Segoe UI" w:cs="Segoe UI"/>
                <w:b/>
                <w:bCs/>
                <w:color w:val="555555"/>
                <w:sz w:val="20"/>
                <w:szCs w:val="20"/>
              </w:rPr>
              <w:t>)</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Так</w:t>
            </w:r>
            <w:proofErr w:type="spellEnd"/>
          </w:p>
        </w:tc>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Ні</w:t>
            </w:r>
            <w:proofErr w:type="spellEnd"/>
          </w:p>
        </w:tc>
      </w:tr>
      <w:tr w:rsidR="008753B9" w:rsidRPr="008753B9" w:rsidTr="008753B9">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lastRenderedPageBreak/>
              <w:t>Громадяни</w:t>
            </w:r>
            <w:bookmarkStart w:id="0" w:name="_GoBack"/>
            <w:bookmarkEnd w:id="0"/>
            <w:proofErr w:type="spellEnd"/>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так</w:t>
            </w:r>
            <w:proofErr w:type="spellEnd"/>
          </w:p>
        </w:tc>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
        </w:tc>
      </w:tr>
      <w:tr w:rsidR="008753B9" w:rsidRPr="008753B9" w:rsidTr="008753B9">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Органи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місцевого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самоврядування</w:t>
            </w:r>
            <w:proofErr w:type="spellEnd"/>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так</w:t>
            </w:r>
            <w:proofErr w:type="spellEnd"/>
          </w:p>
        </w:tc>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
        </w:tc>
      </w:tr>
      <w:tr w:rsidR="008753B9" w:rsidRPr="008753B9" w:rsidTr="008753B9">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Суб’єкти господарювання, у тому числі суб’єкти малого підприємництва</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так</w:t>
            </w:r>
            <w:proofErr w:type="spellEnd"/>
          </w:p>
        </w:tc>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b/>
          <w:bCs/>
          <w:color w:val="555555"/>
          <w:sz w:val="24"/>
          <w:szCs w:val="24"/>
        </w:rPr>
        <w:t xml:space="preserve">ІІ. </w:t>
      </w:r>
      <w:proofErr w:type="spellStart"/>
      <w:r w:rsidRPr="008753B9">
        <w:rPr>
          <w:rFonts w:ascii="Segoe UI" w:eastAsia="Times New Roman" w:hAnsi="Segoe UI" w:cs="Segoe UI"/>
          <w:b/>
          <w:bCs/>
          <w:color w:val="555555"/>
          <w:sz w:val="24"/>
          <w:szCs w:val="24"/>
        </w:rPr>
        <w:t>Цілі</w:t>
      </w:r>
      <w:proofErr w:type="spellEnd"/>
      <w:r w:rsidRPr="008753B9">
        <w:rPr>
          <w:rFonts w:ascii="Segoe UI" w:eastAsia="Times New Roman" w:hAnsi="Segoe UI" w:cs="Segoe UI"/>
          <w:b/>
          <w:bCs/>
          <w:color w:val="555555"/>
          <w:sz w:val="24"/>
          <w:szCs w:val="24"/>
        </w:rPr>
        <w:t xml:space="preserve"> </w:t>
      </w:r>
      <w:proofErr w:type="spellStart"/>
      <w:r w:rsidRPr="008753B9">
        <w:rPr>
          <w:rFonts w:ascii="Segoe UI" w:eastAsia="Times New Roman" w:hAnsi="Segoe UI" w:cs="Segoe UI"/>
          <w:b/>
          <w:bCs/>
          <w:color w:val="555555"/>
          <w:sz w:val="24"/>
          <w:szCs w:val="24"/>
        </w:rPr>
        <w:t>державного</w:t>
      </w:r>
      <w:proofErr w:type="spellEnd"/>
      <w:r w:rsidRPr="008753B9">
        <w:rPr>
          <w:rFonts w:ascii="Segoe UI" w:eastAsia="Times New Roman" w:hAnsi="Segoe UI" w:cs="Segoe UI"/>
          <w:b/>
          <w:bCs/>
          <w:color w:val="555555"/>
          <w:sz w:val="24"/>
          <w:szCs w:val="24"/>
        </w:rPr>
        <w:t xml:space="preserve"> </w:t>
      </w:r>
      <w:proofErr w:type="spellStart"/>
      <w:r w:rsidRPr="008753B9">
        <w:rPr>
          <w:rFonts w:ascii="Segoe UI" w:eastAsia="Times New Roman" w:hAnsi="Segoe UI" w:cs="Segoe UI"/>
          <w:b/>
          <w:bCs/>
          <w:color w:val="555555"/>
          <w:sz w:val="24"/>
          <w:szCs w:val="24"/>
        </w:rPr>
        <w:t>регулювання</w:t>
      </w:r>
      <w:proofErr w:type="spellEnd"/>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proofErr w:type="spellStart"/>
      <w:r w:rsidRPr="008753B9">
        <w:rPr>
          <w:rFonts w:ascii="Segoe UI" w:eastAsia="Times New Roman" w:hAnsi="Segoe UI" w:cs="Segoe UI"/>
          <w:color w:val="555555"/>
          <w:sz w:val="24"/>
          <w:szCs w:val="24"/>
        </w:rPr>
        <w:t>Основною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метою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розробки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проекту</w:t>
      </w:r>
      <w:proofErr w:type="spellEnd"/>
      <w:r w:rsidRPr="008753B9">
        <w:rPr>
          <w:rFonts w:ascii="Segoe UI" w:eastAsia="Times New Roman" w:hAnsi="Segoe UI" w:cs="Segoe UI"/>
          <w:color w:val="555555"/>
          <w:sz w:val="24"/>
          <w:szCs w:val="24"/>
        </w:rPr>
        <w:t xml:space="preserve"> є </w:t>
      </w:r>
      <w:proofErr w:type="spellStart"/>
      <w:r w:rsidRPr="008753B9">
        <w:rPr>
          <w:rFonts w:ascii="Segoe UI" w:eastAsia="Times New Roman" w:hAnsi="Segoe UI" w:cs="Segoe UI"/>
          <w:color w:val="555555"/>
          <w:sz w:val="24"/>
          <w:szCs w:val="24"/>
        </w:rPr>
        <w:t>забезпечення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практичної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реалізації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статей</w:t>
      </w:r>
      <w:proofErr w:type="spellEnd"/>
      <w:r w:rsidRPr="008753B9">
        <w:rPr>
          <w:rFonts w:ascii="Segoe UI" w:eastAsia="Times New Roman" w:hAnsi="Segoe UI" w:cs="Segoe UI"/>
          <w:color w:val="555555"/>
          <w:sz w:val="24"/>
          <w:szCs w:val="24"/>
        </w:rPr>
        <w:t xml:space="preserve"> 10,12, 212,213.1.9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ст.215.3.10 267 </w:t>
      </w:r>
      <w:proofErr w:type="spellStart"/>
      <w:r w:rsidRPr="008753B9">
        <w:rPr>
          <w:rFonts w:ascii="Segoe UI" w:eastAsia="Times New Roman" w:hAnsi="Segoe UI" w:cs="Segoe UI"/>
          <w:color w:val="555555"/>
          <w:sz w:val="24"/>
          <w:szCs w:val="24"/>
        </w:rPr>
        <w:t>Податкового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Кодексу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України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закону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України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внесення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змін</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Податкового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кодексу</w:t>
      </w:r>
      <w:proofErr w:type="spellEnd"/>
      <w:r w:rsidRPr="008753B9">
        <w:rPr>
          <w:rFonts w:ascii="Segoe UI" w:eastAsia="Times New Roman" w:hAnsi="Segoe UI" w:cs="Segoe UI"/>
          <w:color w:val="555555"/>
          <w:sz w:val="24"/>
          <w:szCs w:val="24"/>
        </w:rPr>
        <w:t xml:space="preserve"> </w:t>
      </w:r>
      <w:proofErr w:type="spellStart"/>
      <w:proofErr w:type="gramStart"/>
      <w:r w:rsidRPr="008753B9">
        <w:rPr>
          <w:rFonts w:ascii="Segoe UI" w:eastAsia="Times New Roman" w:hAnsi="Segoe UI" w:cs="Segoe UI"/>
          <w:color w:val="555555"/>
          <w:sz w:val="24"/>
          <w:szCs w:val="24"/>
        </w:rPr>
        <w:t>України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proofErr w:type="gram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шляхом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встановлення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місцевих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податків</w:t>
      </w:r>
      <w:proofErr w:type="spellEnd"/>
      <w:r w:rsidRPr="008753B9">
        <w:rPr>
          <w:rFonts w:ascii="Segoe UI" w:eastAsia="Times New Roman" w:hAnsi="Segoe UI" w:cs="Segoe UI"/>
          <w:color w:val="555555"/>
          <w:sz w:val="24"/>
          <w:szCs w:val="24"/>
        </w:rPr>
        <w:t xml:space="preserve"> і </w:t>
      </w:r>
      <w:proofErr w:type="spellStart"/>
      <w:r w:rsidRPr="008753B9">
        <w:rPr>
          <w:rFonts w:ascii="Segoe UI" w:eastAsia="Times New Roman" w:hAnsi="Segoe UI" w:cs="Segoe UI"/>
          <w:color w:val="555555"/>
          <w:sz w:val="24"/>
          <w:szCs w:val="24"/>
        </w:rPr>
        <w:t>зборів</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території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Крижанівської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сільської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ради</w:t>
      </w:r>
      <w:proofErr w:type="spellEnd"/>
      <w:r w:rsidRPr="008753B9">
        <w:rPr>
          <w:rFonts w:ascii="Segoe UI" w:eastAsia="Times New Roman" w:hAnsi="Segoe UI" w:cs="Segoe UI"/>
          <w:color w:val="555555"/>
          <w:sz w:val="24"/>
          <w:szCs w:val="24"/>
        </w:rPr>
        <w:t xml:space="preserve">. </w:t>
      </w:r>
      <w:r w:rsidRPr="008753B9">
        <w:rPr>
          <w:rFonts w:ascii="Segoe UI" w:eastAsia="Times New Roman" w:hAnsi="Segoe UI" w:cs="Segoe UI"/>
          <w:color w:val="555555"/>
          <w:sz w:val="24"/>
          <w:szCs w:val="24"/>
          <w:lang w:val="ru-RU"/>
        </w:rPr>
        <w:t>Проектом рішення передбачається затвердити</w:t>
      </w:r>
      <w:r w:rsidRPr="008753B9">
        <w:rPr>
          <w:rFonts w:ascii="Segoe UI" w:eastAsia="Times New Roman" w:hAnsi="Segoe UI" w:cs="Segoe UI"/>
          <w:color w:val="555555"/>
          <w:sz w:val="24"/>
          <w:szCs w:val="24"/>
        </w:rPr>
        <w:t> </w:t>
      </w:r>
      <w:r w:rsidRPr="008753B9">
        <w:rPr>
          <w:rFonts w:ascii="Segoe UI" w:eastAsia="Times New Roman" w:hAnsi="Segoe UI" w:cs="Segoe UI"/>
          <w:b/>
          <w:bCs/>
          <w:color w:val="555555"/>
          <w:sz w:val="24"/>
          <w:szCs w:val="24"/>
          <w:lang w:val="ru-RU"/>
        </w:rPr>
        <w:t>ставки акцизного податку з юридичних та фізичних осіб</w:t>
      </w:r>
      <w:r w:rsidRPr="008753B9">
        <w:rPr>
          <w:rFonts w:ascii="Segoe UI" w:eastAsia="Times New Roman" w:hAnsi="Segoe UI" w:cs="Segoe UI"/>
          <w:color w:val="555555"/>
          <w:sz w:val="24"/>
          <w:szCs w:val="24"/>
          <w:lang w:val="ru-RU"/>
        </w:rPr>
        <w:t>.</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ІІІ.</w:t>
      </w:r>
      <w:r w:rsidRPr="008753B9">
        <w:rPr>
          <w:rFonts w:ascii="Segoe UI" w:eastAsia="Times New Roman" w:hAnsi="Segoe UI" w:cs="Segoe UI"/>
          <w:b/>
          <w:bCs/>
          <w:color w:val="555555"/>
          <w:sz w:val="24"/>
          <w:szCs w:val="24"/>
        </w:rPr>
        <w:t> </w:t>
      </w:r>
      <w:r w:rsidRPr="008753B9">
        <w:rPr>
          <w:rFonts w:ascii="Segoe UI" w:eastAsia="Times New Roman" w:hAnsi="Segoe UI" w:cs="Segoe UI"/>
          <w:b/>
          <w:bCs/>
          <w:color w:val="555555"/>
          <w:sz w:val="24"/>
          <w:szCs w:val="24"/>
          <w:lang w:val="ru-RU"/>
        </w:rPr>
        <w:t xml:space="preserve"> Визначення та оцінка альтернативних способів досягнення визначених цілей</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5653"/>
        <w:gridCol w:w="10847"/>
      </w:tblGrid>
      <w:tr w:rsidR="008753B9" w:rsidRPr="008753B9" w:rsidTr="008753B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Вид</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альтернативи</w:t>
            </w:r>
            <w:proofErr w:type="spellEnd"/>
          </w:p>
        </w:tc>
        <w:tc>
          <w:tcPr>
            <w:tcW w:w="7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Опис</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альтернативи</w:t>
            </w:r>
            <w:proofErr w:type="spellEnd"/>
          </w:p>
        </w:tc>
      </w:tr>
      <w:tr w:rsidR="008753B9" w:rsidRPr="008753B9" w:rsidTr="008753B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Альтернатива 1.</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Не виносити на розгляд сесії сільської ради та не приймати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рішення сільської ради «Про місцеві податки і збори»</w:t>
            </w:r>
          </w:p>
        </w:tc>
        <w:tc>
          <w:tcPr>
            <w:tcW w:w="7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Така альтернатива є неприйнятною в зв’язку з тим, що в даному випадку місцеві податки і збори сплачуються платниками у порядку, встановленому Кодексом і за</w:t>
            </w:r>
            <w:r w:rsidRPr="008753B9">
              <w:rPr>
                <w:rFonts w:ascii="Segoe UI" w:eastAsia="Times New Roman" w:hAnsi="Segoe UI" w:cs="Segoe UI"/>
                <w:color w:val="555555"/>
                <w:sz w:val="20"/>
                <w:szCs w:val="20"/>
              </w:rPr>
              <w:t> </w:t>
            </w:r>
            <w:r w:rsidRPr="008753B9">
              <w:rPr>
                <w:rFonts w:ascii="Segoe UI" w:eastAsia="Times New Roman" w:hAnsi="Segoe UI" w:cs="Segoe UI"/>
                <w:color w:val="555555"/>
                <w:sz w:val="20"/>
                <w:szCs w:val="20"/>
                <w:lang w:val="ru-RU"/>
              </w:rPr>
              <w:t xml:space="preserve"> ставками, встановленими Кодексом, що не сприятиме наповненню сільського бюджету в можливих обсягах.</w:t>
            </w:r>
          </w:p>
        </w:tc>
      </w:tr>
      <w:tr w:rsidR="008753B9" w:rsidRPr="008753B9" w:rsidTr="008753B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Альтернатива 2.</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Прийняти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рішення «Про місцеві податки і збори»</w:t>
            </w:r>
          </w:p>
        </w:tc>
        <w:tc>
          <w:tcPr>
            <w:tcW w:w="7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Прийняття даного рішення сільської ради забезпечить встановлення чітких та прозорих механізмів справляння та сплати місцевих податків і зборів на території села та відповідне наповнення сільського бюджету, створенню фінансової основи самодостатності територіальної громади села.</w:t>
            </w:r>
          </w:p>
        </w:tc>
      </w:tr>
    </w:tbl>
    <w:p w:rsidR="008753B9" w:rsidRPr="008753B9" w:rsidRDefault="008753B9" w:rsidP="008753B9">
      <w:pPr>
        <w:numPr>
          <w:ilvl w:val="0"/>
          <w:numId w:val="17"/>
        </w:numPr>
        <w:shd w:val="clear" w:color="auto" w:fill="FFFFFF"/>
        <w:spacing w:after="0" w:line="240" w:lineRule="auto"/>
        <w:ind w:left="300"/>
        <w:rPr>
          <w:rFonts w:ascii="Segoe UI" w:eastAsia="Times New Roman" w:hAnsi="Segoe UI" w:cs="Segoe UI"/>
          <w:color w:val="555555"/>
          <w:sz w:val="21"/>
          <w:szCs w:val="21"/>
        </w:rPr>
      </w:pPr>
      <w:proofErr w:type="spellStart"/>
      <w:r w:rsidRPr="008753B9">
        <w:rPr>
          <w:rFonts w:ascii="Segoe UI" w:eastAsia="Times New Roman" w:hAnsi="Segoe UI" w:cs="Segoe UI"/>
          <w:color w:val="555555"/>
          <w:sz w:val="21"/>
          <w:szCs w:val="21"/>
        </w:rPr>
        <w:t>Визначення</w:t>
      </w:r>
      <w:proofErr w:type="spellEnd"/>
      <w:r w:rsidRPr="008753B9">
        <w:rPr>
          <w:rFonts w:ascii="Segoe UI" w:eastAsia="Times New Roman" w:hAnsi="Segoe UI" w:cs="Segoe UI"/>
          <w:color w:val="555555"/>
          <w:sz w:val="21"/>
          <w:szCs w:val="21"/>
        </w:rPr>
        <w:t xml:space="preserve"> </w:t>
      </w:r>
      <w:proofErr w:type="spellStart"/>
      <w:r w:rsidRPr="008753B9">
        <w:rPr>
          <w:rFonts w:ascii="Segoe UI" w:eastAsia="Times New Roman" w:hAnsi="Segoe UI" w:cs="Segoe UI"/>
          <w:color w:val="555555"/>
          <w:sz w:val="21"/>
          <w:szCs w:val="21"/>
        </w:rPr>
        <w:t>альтернативних</w:t>
      </w:r>
      <w:proofErr w:type="spellEnd"/>
      <w:r w:rsidRPr="008753B9">
        <w:rPr>
          <w:rFonts w:ascii="Segoe UI" w:eastAsia="Times New Roman" w:hAnsi="Segoe UI" w:cs="Segoe UI"/>
          <w:color w:val="555555"/>
          <w:sz w:val="21"/>
          <w:szCs w:val="21"/>
        </w:rPr>
        <w:t xml:space="preserve"> </w:t>
      </w:r>
      <w:proofErr w:type="spellStart"/>
      <w:r w:rsidRPr="008753B9">
        <w:rPr>
          <w:rFonts w:ascii="Segoe UI" w:eastAsia="Times New Roman" w:hAnsi="Segoe UI" w:cs="Segoe UI"/>
          <w:color w:val="555555"/>
          <w:sz w:val="21"/>
          <w:szCs w:val="21"/>
        </w:rPr>
        <w:t>способів</w:t>
      </w:r>
      <w:proofErr w:type="spellEnd"/>
      <w:r w:rsidRPr="008753B9">
        <w:rPr>
          <w:rFonts w:ascii="Segoe UI" w:eastAsia="Times New Roman" w:hAnsi="Segoe UI" w:cs="Segoe UI"/>
          <w:color w:val="555555"/>
          <w:sz w:val="21"/>
          <w:szCs w:val="21"/>
        </w:rPr>
        <w:t>.</w:t>
      </w:r>
    </w:p>
    <w:p w:rsidR="008753B9" w:rsidRPr="008753B9" w:rsidRDefault="008753B9" w:rsidP="008753B9">
      <w:pPr>
        <w:numPr>
          <w:ilvl w:val="0"/>
          <w:numId w:val="17"/>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Оцінка вибраних альтернативних способів досягнення цілей</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Оцінка впливу на сферу інтересів органів місцевого самоврядування</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185"/>
        <w:gridCol w:w="8219"/>
        <w:gridCol w:w="5096"/>
      </w:tblGrid>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Вид</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альтернативи</w:t>
            </w:r>
            <w:proofErr w:type="spellEnd"/>
          </w:p>
        </w:tc>
        <w:tc>
          <w:tcPr>
            <w:tcW w:w="60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Вигоди</w:t>
            </w:r>
            <w:proofErr w:type="spellEnd"/>
          </w:p>
        </w:tc>
        <w:tc>
          <w:tcPr>
            <w:tcW w:w="37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Витрати</w:t>
            </w:r>
            <w:proofErr w:type="spellEnd"/>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lastRenderedPageBreak/>
              <w:t>Альтернатива</w:t>
            </w:r>
            <w:proofErr w:type="spellEnd"/>
            <w:r w:rsidRPr="008753B9">
              <w:rPr>
                <w:rFonts w:ascii="Segoe UI" w:eastAsia="Times New Roman" w:hAnsi="Segoe UI" w:cs="Segoe UI"/>
                <w:color w:val="555555"/>
                <w:sz w:val="20"/>
                <w:szCs w:val="20"/>
              </w:rPr>
              <w:t xml:space="preserve"> 1</w:t>
            </w:r>
          </w:p>
        </w:tc>
        <w:tc>
          <w:tcPr>
            <w:tcW w:w="60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37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Альтернатива</w:t>
            </w:r>
            <w:proofErr w:type="spellEnd"/>
            <w:r w:rsidRPr="008753B9">
              <w:rPr>
                <w:rFonts w:ascii="Segoe UI" w:eastAsia="Times New Roman" w:hAnsi="Segoe UI" w:cs="Segoe UI"/>
                <w:color w:val="555555"/>
                <w:sz w:val="20"/>
                <w:szCs w:val="20"/>
              </w:rPr>
              <w:t xml:space="preserve"> 2</w:t>
            </w:r>
          </w:p>
        </w:tc>
        <w:tc>
          <w:tcPr>
            <w:tcW w:w="60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1. Забезпечення відповідних надходжень до сільського бюджету від сплати місцевих податків і зборів.</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2. Посилення фінансових можливостей сільської влади для задоволення соціальних та інших потреб територіальної громади.</w:t>
            </w:r>
          </w:p>
        </w:tc>
        <w:tc>
          <w:tcPr>
            <w:tcW w:w="37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на проведення відстеження результативності даного регуляторного акту та процедур з його оприлюднення</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Оцінка впливу на сферу інтересів громадян</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391"/>
        <w:gridCol w:w="7541"/>
        <w:gridCol w:w="5568"/>
      </w:tblGrid>
      <w:tr w:rsidR="008753B9" w:rsidRPr="008753B9" w:rsidTr="008753B9">
        <w:tc>
          <w:tcPr>
            <w:tcW w:w="24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Вид</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альтернативи</w:t>
            </w:r>
            <w:proofErr w:type="spellEnd"/>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Вигоди</w:t>
            </w:r>
            <w:proofErr w:type="spellEnd"/>
          </w:p>
        </w:tc>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Витрати</w:t>
            </w:r>
            <w:proofErr w:type="spellEnd"/>
          </w:p>
        </w:tc>
      </w:tr>
      <w:tr w:rsidR="008753B9" w:rsidRPr="008753B9" w:rsidTr="008753B9">
        <w:tc>
          <w:tcPr>
            <w:tcW w:w="24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Альтернатива</w:t>
            </w:r>
            <w:proofErr w:type="spellEnd"/>
            <w:r w:rsidRPr="008753B9">
              <w:rPr>
                <w:rFonts w:ascii="Segoe UI" w:eastAsia="Times New Roman" w:hAnsi="Segoe UI" w:cs="Segoe UI"/>
                <w:color w:val="555555"/>
                <w:sz w:val="20"/>
                <w:szCs w:val="20"/>
              </w:rPr>
              <w:t xml:space="preserve"> 1</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4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Альтернатива</w:t>
            </w:r>
            <w:proofErr w:type="spellEnd"/>
            <w:r w:rsidRPr="008753B9">
              <w:rPr>
                <w:rFonts w:ascii="Segoe UI" w:eastAsia="Times New Roman" w:hAnsi="Segoe UI" w:cs="Segoe UI"/>
                <w:color w:val="555555"/>
                <w:sz w:val="20"/>
                <w:szCs w:val="20"/>
              </w:rPr>
              <w:t xml:space="preserve"> 2</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отримання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можливості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для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підвищення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рівня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соціальної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захищеності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територіальної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громади</w:t>
            </w:r>
            <w:proofErr w:type="spellEnd"/>
            <w:r w:rsidRPr="008753B9">
              <w:rPr>
                <w:rFonts w:ascii="Segoe UI" w:eastAsia="Times New Roman" w:hAnsi="Segoe UI" w:cs="Segoe UI"/>
                <w:color w:val="555555"/>
                <w:sz w:val="20"/>
                <w:szCs w:val="20"/>
              </w:rPr>
              <w:t xml:space="preserve"> в </w:t>
            </w:r>
            <w:proofErr w:type="spellStart"/>
            <w:r w:rsidRPr="008753B9">
              <w:rPr>
                <w:rFonts w:ascii="Segoe UI" w:eastAsia="Times New Roman" w:hAnsi="Segoe UI" w:cs="Segoe UI"/>
                <w:color w:val="555555"/>
                <w:sz w:val="20"/>
                <w:szCs w:val="20"/>
              </w:rPr>
              <w:t>цілому</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кожного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мешканця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села</w:t>
            </w:r>
            <w:proofErr w:type="spellEnd"/>
          </w:p>
        </w:tc>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час затрачений на вивчення нормативно-правової бази з даного питання та обговорення проекту рішення</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Оцінка впливу на сферу інтересів суб’єктів господарювання</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826"/>
        <w:gridCol w:w="7086"/>
        <w:gridCol w:w="5588"/>
      </w:tblGrid>
      <w:tr w:rsidR="008753B9" w:rsidRPr="008753B9" w:rsidTr="008753B9">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Вид</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альтернативи</w:t>
            </w:r>
            <w:proofErr w:type="spellEnd"/>
          </w:p>
        </w:tc>
        <w:tc>
          <w:tcPr>
            <w:tcW w:w="525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Вигоди</w:t>
            </w:r>
            <w:proofErr w:type="spellEnd"/>
          </w:p>
        </w:tc>
        <w:tc>
          <w:tcPr>
            <w:tcW w:w="41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Витрати</w:t>
            </w:r>
            <w:proofErr w:type="spellEnd"/>
          </w:p>
        </w:tc>
      </w:tr>
      <w:tr w:rsidR="008753B9" w:rsidRPr="008753B9" w:rsidTr="008753B9">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Альтернатива</w:t>
            </w:r>
            <w:proofErr w:type="spellEnd"/>
            <w:r w:rsidRPr="008753B9">
              <w:rPr>
                <w:rFonts w:ascii="Segoe UI" w:eastAsia="Times New Roman" w:hAnsi="Segoe UI" w:cs="Segoe UI"/>
                <w:color w:val="555555"/>
                <w:sz w:val="20"/>
                <w:szCs w:val="20"/>
              </w:rPr>
              <w:t xml:space="preserve"> 1</w:t>
            </w:r>
          </w:p>
        </w:tc>
        <w:tc>
          <w:tcPr>
            <w:tcW w:w="525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41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Альтернатива</w:t>
            </w:r>
            <w:proofErr w:type="spellEnd"/>
            <w:r w:rsidRPr="008753B9">
              <w:rPr>
                <w:rFonts w:ascii="Segoe UI" w:eastAsia="Times New Roman" w:hAnsi="Segoe UI" w:cs="Segoe UI"/>
                <w:color w:val="555555"/>
                <w:sz w:val="20"/>
                <w:szCs w:val="20"/>
              </w:rPr>
              <w:t xml:space="preserve"> 2</w:t>
            </w:r>
          </w:p>
        </w:tc>
        <w:tc>
          <w:tcPr>
            <w:tcW w:w="525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забезпечення прозорих та зрозумілих умов з питань справляння місцевих податків і зборів та надання пільг</w:t>
            </w:r>
          </w:p>
        </w:tc>
        <w:tc>
          <w:tcPr>
            <w:tcW w:w="41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затрати часу, необхідні для вивчення положень про місцеві податки і збори та обговорення проекту рішення</w:t>
            </w:r>
          </w:p>
        </w:tc>
      </w:tr>
    </w:tbl>
    <w:p w:rsidR="008753B9" w:rsidRPr="008753B9" w:rsidRDefault="008753B9" w:rsidP="008753B9">
      <w:pPr>
        <w:numPr>
          <w:ilvl w:val="0"/>
          <w:numId w:val="18"/>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b/>
          <w:bCs/>
          <w:color w:val="555555"/>
          <w:sz w:val="21"/>
          <w:szCs w:val="21"/>
        </w:rPr>
        <w:t>I </w:t>
      </w:r>
      <w:r w:rsidRPr="008753B9">
        <w:rPr>
          <w:rFonts w:ascii="Segoe UI" w:eastAsia="Times New Roman" w:hAnsi="Segoe UI" w:cs="Segoe UI"/>
          <w:b/>
          <w:bCs/>
          <w:color w:val="555555"/>
          <w:sz w:val="21"/>
          <w:szCs w:val="21"/>
          <w:lang w:val="ru-RU"/>
        </w:rPr>
        <w:t>Механізм, який пропонується застосувати для розв’язання проблеми.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Основним механізмом, який забезпечить розв’язання визначеної проблеми, </w:t>
      </w:r>
      <w:proofErr w:type="gramStart"/>
      <w:r w:rsidRPr="008753B9">
        <w:rPr>
          <w:rFonts w:ascii="Segoe UI" w:eastAsia="Times New Roman" w:hAnsi="Segoe UI" w:cs="Segoe UI"/>
          <w:color w:val="555555"/>
          <w:sz w:val="24"/>
          <w:szCs w:val="24"/>
          <w:lang w:val="ru-RU"/>
        </w:rPr>
        <w:t>є</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встановлення</w:t>
      </w:r>
      <w:proofErr w:type="gramEnd"/>
      <w:r w:rsidRPr="008753B9">
        <w:rPr>
          <w:rFonts w:ascii="Segoe UI" w:eastAsia="Times New Roman" w:hAnsi="Segoe UI" w:cs="Segoe UI"/>
          <w:color w:val="555555"/>
          <w:sz w:val="24"/>
          <w:szCs w:val="24"/>
          <w:lang w:val="ru-RU"/>
        </w:rPr>
        <w:t xml:space="preserve"> місцевих податків і зборів. По кожному виду місцевого податку і збору визначаються платники податку; об’єкт оподаткування; база оподаткування; ставка податку; податковий період; порядок обчислення суми податку; строки сплати податку; порядок сплати податку; строки на порядок подання звітності про обчислення і сплату податку; податкові пільги та порядок їх застосування.</w:t>
      </w:r>
    </w:p>
    <w:p w:rsidR="008753B9" w:rsidRPr="008753B9" w:rsidRDefault="008753B9" w:rsidP="008753B9">
      <w:pPr>
        <w:numPr>
          <w:ilvl w:val="0"/>
          <w:numId w:val="19"/>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b/>
          <w:bCs/>
          <w:color w:val="555555"/>
          <w:sz w:val="21"/>
          <w:szCs w:val="21"/>
          <w:lang w:val="ru-RU"/>
        </w:rPr>
        <w:lastRenderedPageBreak/>
        <w:t>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Витрати (додаткові) на виконання вимог регуляторного акту з боку органів виконавчої </w:t>
      </w:r>
      <w:proofErr w:type="gramStart"/>
      <w:r w:rsidRPr="008753B9">
        <w:rPr>
          <w:rFonts w:ascii="Segoe UI" w:eastAsia="Times New Roman" w:hAnsi="Segoe UI" w:cs="Segoe UI"/>
          <w:color w:val="555555"/>
          <w:sz w:val="24"/>
          <w:szCs w:val="24"/>
          <w:lang w:val="ru-RU"/>
        </w:rPr>
        <w:t>влади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або</w:t>
      </w:r>
      <w:proofErr w:type="gramEnd"/>
      <w:r w:rsidRPr="008753B9">
        <w:rPr>
          <w:rFonts w:ascii="Segoe UI" w:eastAsia="Times New Roman" w:hAnsi="Segoe UI" w:cs="Segoe UI"/>
          <w:color w:val="555555"/>
          <w:sz w:val="24"/>
          <w:szCs w:val="24"/>
          <w:lang w:val="ru-RU"/>
        </w:rPr>
        <w:t xml:space="preserve"> органів місцевого самоврядування та суб’єктів підприємництва відсутні.</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884"/>
        <w:gridCol w:w="10143"/>
        <w:gridCol w:w="3021"/>
        <w:gridCol w:w="2452"/>
      </w:tblGrid>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b/>
                <w:bCs/>
                <w:color w:val="555555"/>
                <w:sz w:val="20"/>
                <w:szCs w:val="20"/>
              </w:rPr>
              <w:t>№</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Витрати</w:t>
            </w:r>
            <w:proofErr w:type="spellEnd"/>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За</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перший</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рік</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За</w:t>
            </w:r>
            <w:proofErr w:type="spellEnd"/>
            <w:r w:rsidRPr="008753B9">
              <w:rPr>
                <w:rFonts w:ascii="Segoe UI" w:eastAsia="Times New Roman" w:hAnsi="Segoe UI" w:cs="Segoe UI"/>
                <w:b/>
                <w:bCs/>
                <w:color w:val="555555"/>
                <w:sz w:val="20"/>
                <w:szCs w:val="20"/>
              </w:rPr>
              <w:t xml:space="preserve"> 5 </w:t>
            </w:r>
            <w:proofErr w:type="spellStart"/>
            <w:r w:rsidRPr="008753B9">
              <w:rPr>
                <w:rFonts w:ascii="Segoe UI" w:eastAsia="Times New Roman" w:hAnsi="Segoe UI" w:cs="Segoe UI"/>
                <w:b/>
                <w:bCs/>
                <w:color w:val="555555"/>
                <w:sz w:val="20"/>
                <w:szCs w:val="20"/>
              </w:rPr>
              <w:t>років</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2</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Податки та збори (зміна розміру податків/зборів, виникнення необхідності у сплаті податків/зборів),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3</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пов’язані із веденням обліку, підготовкою та поданням звітності державним органам,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4</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lang w:val="ru-RU"/>
              </w:rPr>
              <w:t xml:space="preserve">Витрати, пов’язані з адмініструванням заходів державного нагляду (контролю) </w:t>
            </w:r>
            <w:r w:rsidRPr="008753B9">
              <w:rPr>
                <w:rFonts w:ascii="Segoe UI" w:eastAsia="Times New Roman" w:hAnsi="Segoe UI" w:cs="Segoe UI"/>
                <w:color w:val="555555"/>
                <w:sz w:val="20"/>
                <w:szCs w:val="20"/>
              </w:rPr>
              <w:t>(</w:t>
            </w:r>
            <w:proofErr w:type="spellStart"/>
            <w:r w:rsidRPr="008753B9">
              <w:rPr>
                <w:rFonts w:ascii="Segoe UI" w:eastAsia="Times New Roman" w:hAnsi="Segoe UI" w:cs="Segoe UI"/>
                <w:color w:val="555555"/>
                <w:sz w:val="20"/>
                <w:szCs w:val="20"/>
              </w:rPr>
              <w:t>перевірок</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штрафних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санкцій</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виконання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рішень</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приписів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тощо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гривень</w:t>
            </w:r>
            <w:proofErr w:type="spellEnd"/>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5</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Витрати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на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отримання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адміністративних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послуг</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дозволів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ліцензій</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сертифікатів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атестатів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погоджень</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висновків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проведення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незалежних</w:t>
            </w:r>
            <w:proofErr w:type="spellEnd"/>
            <w:r w:rsidRPr="008753B9">
              <w:rPr>
                <w:rFonts w:ascii="Segoe UI" w:eastAsia="Times New Roman" w:hAnsi="Segoe UI" w:cs="Segoe UI"/>
                <w:color w:val="555555"/>
                <w:sz w:val="20"/>
                <w:szCs w:val="20"/>
              </w:rPr>
              <w:t>/</w:t>
            </w:r>
            <w:proofErr w:type="spellStart"/>
            <w:r w:rsidRPr="008753B9">
              <w:rPr>
                <w:rFonts w:ascii="Segoe UI" w:eastAsia="Times New Roman" w:hAnsi="Segoe UI" w:cs="Segoe UI"/>
                <w:color w:val="555555"/>
                <w:sz w:val="20"/>
                <w:szCs w:val="20"/>
              </w:rPr>
              <w:t>обов’язкових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експертиз</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сертифікації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атестації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тощо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інших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послуг</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проведення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наукових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інших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експертиз</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страхування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тощо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гривень</w:t>
            </w:r>
            <w:proofErr w:type="spellEnd"/>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6</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на оборотні активи (матеріали, канцелярські товари тощо),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7</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пов’язані із наймами додаткового персоналу,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8</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Інше</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уточнити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гривень</w:t>
            </w:r>
            <w:proofErr w:type="spellEnd"/>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9</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РАЗОМ (</w:t>
            </w:r>
            <w:proofErr w:type="spellStart"/>
            <w:r w:rsidRPr="008753B9">
              <w:rPr>
                <w:rFonts w:ascii="Segoe UI" w:eastAsia="Times New Roman" w:hAnsi="Segoe UI" w:cs="Segoe UI"/>
                <w:color w:val="555555"/>
                <w:sz w:val="20"/>
                <w:szCs w:val="20"/>
              </w:rPr>
              <w:t>сума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рядків</w:t>
            </w:r>
            <w:proofErr w:type="spellEnd"/>
            <w:r w:rsidRPr="008753B9">
              <w:rPr>
                <w:rFonts w:ascii="Segoe UI" w:eastAsia="Times New Roman" w:hAnsi="Segoe UI" w:cs="Segoe UI"/>
                <w:color w:val="555555"/>
                <w:sz w:val="20"/>
                <w:szCs w:val="20"/>
              </w:rPr>
              <w:t xml:space="preserve">: 1 + 2 + 3 + 4 + 5 + 6 + 7 + 8), </w:t>
            </w:r>
            <w:proofErr w:type="spellStart"/>
            <w:r w:rsidRPr="008753B9">
              <w:rPr>
                <w:rFonts w:ascii="Segoe UI" w:eastAsia="Times New Roman" w:hAnsi="Segoe UI" w:cs="Segoe UI"/>
                <w:color w:val="555555"/>
                <w:sz w:val="20"/>
                <w:szCs w:val="20"/>
              </w:rPr>
              <w:t>гривень</w:t>
            </w:r>
            <w:proofErr w:type="spellEnd"/>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10</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Кількість суб’єктів</w:t>
            </w:r>
            <w:r w:rsidRPr="008753B9">
              <w:rPr>
                <w:rFonts w:ascii="Segoe UI" w:eastAsia="Times New Roman" w:hAnsi="Segoe UI" w:cs="Segoe UI"/>
                <w:color w:val="555555"/>
                <w:sz w:val="20"/>
                <w:szCs w:val="20"/>
              </w:rPr>
              <w:t>  </w:t>
            </w:r>
            <w:r w:rsidRPr="008753B9">
              <w:rPr>
                <w:rFonts w:ascii="Segoe UI" w:eastAsia="Times New Roman" w:hAnsi="Segoe UI" w:cs="Segoe UI"/>
                <w:color w:val="555555"/>
                <w:sz w:val="20"/>
                <w:szCs w:val="20"/>
                <w:lang w:val="ru-RU"/>
              </w:rPr>
              <w:t xml:space="preserve"> підприємництва, на яких буде поширено регулювання, одиниць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114</w:t>
            </w:r>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114</w:t>
            </w:r>
          </w:p>
        </w:tc>
      </w:tr>
      <w:tr w:rsidR="008753B9" w:rsidRPr="008753B9" w:rsidTr="008753B9">
        <w:tc>
          <w:tcPr>
            <w:tcW w:w="6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lastRenderedPageBreak/>
              <w:t>11</w:t>
            </w:r>
          </w:p>
        </w:tc>
        <w:tc>
          <w:tcPr>
            <w:tcW w:w="77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Сумарні витрати суб’єктів</w:t>
            </w:r>
            <w:r w:rsidRPr="008753B9">
              <w:rPr>
                <w:rFonts w:ascii="Segoe UI" w:eastAsia="Times New Roman" w:hAnsi="Segoe UI" w:cs="Segoe UI"/>
                <w:color w:val="555555"/>
                <w:sz w:val="20"/>
                <w:szCs w:val="20"/>
              </w:rPr>
              <w:t> </w:t>
            </w:r>
            <w:r w:rsidRPr="008753B9">
              <w:rPr>
                <w:rFonts w:ascii="Segoe UI" w:eastAsia="Times New Roman" w:hAnsi="Segoe UI" w:cs="Segoe UI"/>
                <w:color w:val="555555"/>
                <w:sz w:val="20"/>
                <w:szCs w:val="20"/>
                <w:lang w:val="ru-RU"/>
              </w:rPr>
              <w:t xml:space="preserve"> підприємництва, на виконання регулювання (вартість регулювання) (рядок 9 х рядок 10), гривень</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0*114=0</w:t>
            </w:r>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0*114=0</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b/>
          <w:bCs/>
          <w:color w:val="555555"/>
          <w:sz w:val="24"/>
          <w:szCs w:val="24"/>
        </w:rPr>
        <w:br/>
        <w:t>БЮДЖЕТНІ ВИТРАТИ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t>на адміністрування регулювання для суб’єктів підприємництва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Витрати (додаткові) на адміністрування регулювання для органів державної влади чи органів місцевого самоврядування відсутні.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579"/>
        <w:gridCol w:w="2143"/>
        <w:gridCol w:w="2871"/>
        <w:gridCol w:w="2447"/>
        <w:gridCol w:w="2649"/>
        <w:gridCol w:w="2811"/>
      </w:tblGrid>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Процедура регулювання суб’єктів великого і середнього підприємництва (розрахунок на одного типового суб’єкта господарювання)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Планові витрати часу на процедуру</w:t>
            </w:r>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Вартість часу співробітника органу державної влади відповідної категорії (заробітна плата)</w:t>
            </w:r>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Оцінка кількості процедур за рік, що припадають на одного суб’єкта</w:t>
            </w:r>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Оцінка кількості суб’єктів, що підпадають під дію процедури регулювання</w:t>
            </w: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на адміністрування регулювання* (за рік), гривень</w:t>
            </w:r>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1. Облік суб’єкта господарювання, що перебуває у сфері регулювання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114</w:t>
            </w: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2. Поточний контроль за суб’єктом господарювання, що перебуває у сфері регулювання, у тому числі:</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камеральні</w:t>
            </w:r>
            <w:proofErr w:type="spellEnd"/>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виїзні</w:t>
            </w:r>
            <w:proofErr w:type="spellEnd"/>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3. Підготовка, затвердження та опрацювання одного окремого акту про порушення вимог регулювання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4. Реалізація одного окремого рішення щодо порушення вимог регулювання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lastRenderedPageBreak/>
              <w:t>5. Оскарження одного окремого рішення суб’єктами господарювання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6. Підготовка звітності за результатами регулювання</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 xml:space="preserve">7. </w:t>
            </w:r>
            <w:proofErr w:type="spellStart"/>
            <w:r w:rsidRPr="008753B9">
              <w:rPr>
                <w:rFonts w:ascii="Segoe UI" w:eastAsia="Times New Roman" w:hAnsi="Segoe UI" w:cs="Segoe UI"/>
                <w:color w:val="555555"/>
                <w:sz w:val="20"/>
                <w:szCs w:val="20"/>
              </w:rPr>
              <w:t>Інші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адміністративні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процедури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уточнити</w:t>
            </w:r>
            <w:proofErr w:type="spellEnd"/>
            <w:r w:rsidRPr="008753B9">
              <w:rPr>
                <w:rFonts w:ascii="Segoe UI" w:eastAsia="Times New Roman" w:hAnsi="Segoe UI" w:cs="Segoe UI"/>
                <w:color w:val="555555"/>
                <w:sz w:val="20"/>
                <w:szCs w:val="20"/>
              </w:rPr>
              <w:t>)</w:t>
            </w:r>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Разом</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за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рік</w:t>
            </w:r>
            <w:proofErr w:type="spellEnd"/>
          </w:p>
        </w:tc>
        <w:tc>
          <w:tcPr>
            <w:tcW w:w="159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81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19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rPr>
        <w:t>VII</w:t>
      </w:r>
      <w:r w:rsidRPr="008753B9">
        <w:rPr>
          <w:rFonts w:ascii="Segoe UI" w:eastAsia="Times New Roman" w:hAnsi="Segoe UI" w:cs="Segoe UI"/>
          <w:b/>
          <w:bCs/>
          <w:color w:val="555555"/>
          <w:sz w:val="24"/>
          <w:szCs w:val="24"/>
          <w:lang w:val="ru-RU"/>
        </w:rPr>
        <w:t>. Обґрунтування запропонованого строку дії регуляторного акту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Відповідно до підпункту 4 пункту 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rPr>
        <w:t>VIII</w:t>
      </w:r>
      <w:r w:rsidRPr="008753B9">
        <w:rPr>
          <w:rFonts w:ascii="Segoe UI" w:eastAsia="Times New Roman" w:hAnsi="Segoe UI" w:cs="Segoe UI"/>
          <w:b/>
          <w:bCs/>
          <w:color w:val="555555"/>
          <w:sz w:val="24"/>
          <w:szCs w:val="24"/>
          <w:lang w:val="ru-RU"/>
        </w:rPr>
        <w:t>.</w:t>
      </w:r>
      <w:r w:rsidRPr="008753B9">
        <w:rPr>
          <w:rFonts w:ascii="Segoe UI" w:eastAsia="Times New Roman" w:hAnsi="Segoe UI" w:cs="Segoe UI"/>
          <w:b/>
          <w:bCs/>
          <w:color w:val="555555"/>
          <w:sz w:val="24"/>
          <w:szCs w:val="24"/>
        </w:rPr>
        <w:t> </w:t>
      </w:r>
      <w:r w:rsidRPr="008753B9">
        <w:rPr>
          <w:rFonts w:ascii="Segoe UI" w:eastAsia="Times New Roman" w:hAnsi="Segoe UI" w:cs="Segoe UI"/>
          <w:b/>
          <w:bCs/>
          <w:color w:val="555555"/>
          <w:sz w:val="24"/>
          <w:szCs w:val="24"/>
          <w:lang w:val="ru-RU"/>
        </w:rPr>
        <w:t xml:space="preserve"> Визначення показників результативності дії регуляторного акту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Основними показниками результативності акту є:</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забезпечення відповідних надходжень до сільського бюджету від сплати податків і зборів.</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створення фінансових можливостей сільської влади для задоволення соціальних та інших потреб територіальної громади (% перевиконання планових показників доходів бюджету);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кількість суб’єктів господарської діяльності, на яких поширюється дія регуляторного акту складає 114 осіб, до місцевого бюджету за 2019 рік поступило акцизного податку на суму 18989950 грн.;</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 xml:space="preserve">– рівень поінформованості суб’єктів господарювання – платників місцевих податків і зборів (оприлюднення рішення про встановлення місцевих податків і </w:t>
      </w:r>
      <w:proofErr w:type="gramStart"/>
      <w:r w:rsidRPr="008753B9">
        <w:rPr>
          <w:rFonts w:ascii="Segoe UI" w:eastAsia="Times New Roman" w:hAnsi="Segoe UI" w:cs="Segoe UI"/>
          <w:color w:val="555555"/>
          <w:sz w:val="24"/>
          <w:szCs w:val="24"/>
          <w:lang w:val="ru-RU"/>
        </w:rPr>
        <w:t>зборів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w:t>
      </w:r>
      <w:proofErr w:type="gramEnd"/>
      <w:r w:rsidRPr="008753B9">
        <w:rPr>
          <w:rFonts w:ascii="Segoe UI" w:eastAsia="Times New Roman" w:hAnsi="Segoe UI" w:cs="Segoe UI"/>
          <w:color w:val="555555"/>
          <w:sz w:val="24"/>
          <w:szCs w:val="24"/>
          <w:lang w:val="ru-RU"/>
        </w:rPr>
        <w:t xml:space="preserve"> </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електронних ЗМІ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numPr>
          <w:ilvl w:val="0"/>
          <w:numId w:val="20"/>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b/>
          <w:bCs/>
          <w:color w:val="555555"/>
          <w:sz w:val="21"/>
          <w:szCs w:val="21"/>
          <w:lang w:val="ru-RU"/>
        </w:rPr>
        <w:t>Визначення заходів, за допомогою яких здійснюватиметься відстеження результативності дії регуляторного акту</w:t>
      </w:r>
      <w:r w:rsidRPr="008753B9">
        <w:rPr>
          <w:rFonts w:ascii="Segoe UI" w:eastAsia="Times New Roman" w:hAnsi="Segoe UI" w:cs="Segoe UI"/>
          <w:color w:val="555555"/>
          <w:sz w:val="21"/>
          <w:szCs w:val="21"/>
          <w:lang w:val="ru-RU"/>
        </w:rPr>
        <w:t>.</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Базове відстеження результативності регуляторного акту буде здійснюватися після набрання чинності цим регуляторним актом шляхом статистичного аналізу </w:t>
      </w:r>
      <w:proofErr w:type="gramStart"/>
      <w:r w:rsidRPr="008753B9">
        <w:rPr>
          <w:rFonts w:ascii="Segoe UI" w:eastAsia="Times New Roman" w:hAnsi="Segoe UI" w:cs="Segoe UI"/>
          <w:color w:val="555555"/>
          <w:sz w:val="24"/>
          <w:szCs w:val="24"/>
          <w:lang w:val="ru-RU"/>
        </w:rPr>
        <w:t>показників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місцевих</w:t>
      </w:r>
      <w:proofErr w:type="gramEnd"/>
      <w:r w:rsidRPr="008753B9">
        <w:rPr>
          <w:rFonts w:ascii="Segoe UI" w:eastAsia="Times New Roman" w:hAnsi="Segoe UI" w:cs="Segoe UI"/>
          <w:color w:val="555555"/>
          <w:sz w:val="24"/>
          <w:szCs w:val="24"/>
          <w:lang w:val="ru-RU"/>
        </w:rPr>
        <w:t xml:space="preserve"> податків і зборів, що надходять до сільського бюджету.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Повторне відстеження буде здійснюватися через рік після набуття чинності регуляторного акту, в результаті якого відбудеться порівняння показників базового та повторного відстеження.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Моніторинг впровадження регуляторного акту покладений постійну депутатську комісію з питань прав людини, законності, депутатської діяльності і етики, які відповідно до своїх повноважень забезпечують виконання засад державної регуляторної політики при прийнятті рішень сільською радою та її виконавчого комітету.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У проекті </w:t>
      </w:r>
      <w:proofErr w:type="gramStart"/>
      <w:r w:rsidRPr="008753B9">
        <w:rPr>
          <w:rFonts w:ascii="Segoe UI" w:eastAsia="Times New Roman" w:hAnsi="Segoe UI" w:cs="Segoe UI"/>
          <w:color w:val="555555"/>
          <w:sz w:val="24"/>
          <w:szCs w:val="24"/>
          <w:lang w:val="ru-RU"/>
        </w:rPr>
        <w:t>рішення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відсутні</w:t>
      </w:r>
      <w:proofErr w:type="gramEnd"/>
      <w:r w:rsidRPr="008753B9">
        <w:rPr>
          <w:rFonts w:ascii="Segoe UI" w:eastAsia="Times New Roman" w:hAnsi="Segoe UI" w:cs="Segoe UI"/>
          <w:color w:val="555555"/>
          <w:sz w:val="24"/>
          <w:szCs w:val="24"/>
          <w:lang w:val="ru-RU"/>
        </w:rPr>
        <w:t xml:space="preserve"> положення, які містять ознаки дискримінації,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правила та процедури, які можуть містити ризики вчинення корупційних правопорушень.</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Проект не стосується питань впливу реалізації акту на ринок праці.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proofErr w:type="gramStart"/>
      <w:r w:rsidRPr="008753B9">
        <w:rPr>
          <w:rFonts w:ascii="Segoe UI" w:eastAsia="Times New Roman" w:hAnsi="Segoe UI" w:cs="Segoe UI"/>
          <w:color w:val="555555"/>
          <w:sz w:val="24"/>
          <w:szCs w:val="24"/>
          <w:lang w:val="ru-RU"/>
        </w:rPr>
        <w:t>При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розробці</w:t>
      </w:r>
      <w:proofErr w:type="gramEnd"/>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проекту</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регуляторного</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акту</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враховано</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думку</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суб’єктів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господарювання,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керівників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бюджетних</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та</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комунальних</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підприємств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та</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установ,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представників</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управління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економіки,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фінансового</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управління,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фіскальної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служби,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щодо</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визначення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найбільш</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оптимальних</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ставок</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податку, з</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дотриманням вимог чинного законодавства.</w:t>
      </w:r>
    </w:p>
    <w:p w:rsidR="008753B9" w:rsidRPr="008753B9" w:rsidRDefault="008753B9" w:rsidP="008753B9">
      <w:pPr>
        <w:numPr>
          <w:ilvl w:val="0"/>
          <w:numId w:val="21"/>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Вимірювання впливу регулювання на суб’єктів малого підприємництва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(мікро- та малі):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кількість суб’єктів господарювання, на яких поширюється регулювання: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114 (одиниць), </w:t>
      </w:r>
      <w:proofErr w:type="gramStart"/>
      <w:r w:rsidRPr="008753B9">
        <w:rPr>
          <w:rFonts w:ascii="Segoe UI" w:eastAsia="Times New Roman" w:hAnsi="Segoe UI" w:cs="Segoe UI"/>
          <w:color w:val="555555"/>
          <w:sz w:val="24"/>
          <w:szCs w:val="24"/>
          <w:lang w:val="ru-RU"/>
        </w:rPr>
        <w:t>їх</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питома</w:t>
      </w:r>
      <w:proofErr w:type="gramEnd"/>
      <w:r w:rsidRPr="008753B9">
        <w:rPr>
          <w:rFonts w:ascii="Segoe UI" w:eastAsia="Times New Roman" w:hAnsi="Segoe UI" w:cs="Segoe UI"/>
          <w:color w:val="555555"/>
          <w:sz w:val="24"/>
          <w:szCs w:val="24"/>
          <w:lang w:val="ru-RU"/>
        </w:rPr>
        <w:t xml:space="preserve"> вага складає 100%.</w:t>
      </w:r>
    </w:p>
    <w:p w:rsidR="008753B9" w:rsidRPr="008753B9" w:rsidRDefault="008753B9" w:rsidP="008753B9">
      <w:pPr>
        <w:numPr>
          <w:ilvl w:val="0"/>
          <w:numId w:val="22"/>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 xml:space="preserve">Розрахунок витрат суб’єктів мікропідприємництва на виконання </w:t>
      </w:r>
      <w:proofErr w:type="gramStart"/>
      <w:r w:rsidRPr="008753B9">
        <w:rPr>
          <w:rFonts w:ascii="Segoe UI" w:eastAsia="Times New Roman" w:hAnsi="Segoe UI" w:cs="Segoe UI"/>
          <w:color w:val="555555"/>
          <w:sz w:val="21"/>
          <w:szCs w:val="21"/>
          <w:lang w:val="ru-RU"/>
        </w:rPr>
        <w:t>вимог</w:t>
      </w:r>
      <w:r w:rsidRPr="008753B9">
        <w:rPr>
          <w:rFonts w:ascii="Segoe UI" w:eastAsia="Times New Roman" w:hAnsi="Segoe UI" w:cs="Segoe UI"/>
          <w:color w:val="555555"/>
          <w:sz w:val="21"/>
          <w:szCs w:val="21"/>
        </w:rPr>
        <w:t> </w:t>
      </w:r>
      <w:r w:rsidRPr="008753B9">
        <w:rPr>
          <w:rFonts w:ascii="Segoe UI" w:eastAsia="Times New Roman" w:hAnsi="Segoe UI" w:cs="Segoe UI"/>
          <w:color w:val="555555"/>
          <w:sz w:val="21"/>
          <w:szCs w:val="21"/>
          <w:lang w:val="ru-RU"/>
        </w:rPr>
        <w:t xml:space="preserve"> регулювання</w:t>
      </w:r>
      <w:proofErr w:type="gramEnd"/>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9512"/>
        <w:gridCol w:w="6154"/>
      </w:tblGrid>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b/>
                <w:bCs/>
                <w:color w:val="555555"/>
                <w:sz w:val="20"/>
                <w:szCs w:val="20"/>
              </w:rPr>
              <w:t>№</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b/>
                <w:bCs/>
                <w:color w:val="555555"/>
                <w:sz w:val="20"/>
                <w:szCs w:val="20"/>
              </w:rPr>
              <w:t>Найменування</w:t>
            </w:r>
            <w:proofErr w:type="spellEnd"/>
            <w:r w:rsidRPr="008753B9">
              <w:rPr>
                <w:rFonts w:ascii="Segoe UI" w:eastAsia="Times New Roman" w:hAnsi="Segoe UI" w:cs="Segoe UI"/>
                <w:b/>
                <w:bCs/>
                <w:color w:val="555555"/>
                <w:sz w:val="20"/>
                <w:szCs w:val="20"/>
              </w:rPr>
              <w:t xml:space="preserve"> </w:t>
            </w:r>
            <w:proofErr w:type="spellStart"/>
            <w:r w:rsidRPr="008753B9">
              <w:rPr>
                <w:rFonts w:ascii="Segoe UI" w:eastAsia="Times New Roman" w:hAnsi="Segoe UI" w:cs="Segoe UI"/>
                <w:b/>
                <w:bCs/>
                <w:color w:val="555555"/>
                <w:sz w:val="20"/>
                <w:szCs w:val="20"/>
              </w:rPr>
              <w:t>оцінки</w:t>
            </w:r>
            <w:proofErr w:type="spellEnd"/>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b/>
                <w:bCs/>
                <w:color w:val="555555"/>
                <w:sz w:val="20"/>
                <w:szCs w:val="20"/>
                <w:lang w:val="ru-RU"/>
              </w:rPr>
              <w:t>У перший рік (стартовий рік впровадження регулювання)</w:t>
            </w:r>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Придбання необхідного обладнання (пристроїв, машин, механізмів)</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Кількість необхідних одиниць обладнання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вартість одиниць</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lastRenderedPageBreak/>
              <w:t>Відсутні</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2</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Процедури повірки та/або постановки на відповідний облік у визначеному органі державної влади чи місцевого самоврядування</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(з/плата) Х оціночна кількість процедур обліку за рік) Х кількість необхідних одиниць обладнання одному суб’єкту малого підприємництва</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3</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Процедури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експлуатації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обладнання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експлуатаційні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витрати</w:t>
            </w:r>
            <w:proofErr w:type="spellEnd"/>
            <w:r w:rsidRPr="008753B9">
              <w:rPr>
                <w:rFonts w:ascii="Segoe UI" w:eastAsia="Times New Roman" w:hAnsi="Segoe UI" w:cs="Segoe UI"/>
                <w:color w:val="555555"/>
                <w:sz w:val="20"/>
                <w:szCs w:val="20"/>
              </w:rPr>
              <w:t xml:space="preserve"> – </w:t>
            </w:r>
            <w:proofErr w:type="spellStart"/>
            <w:r w:rsidRPr="008753B9">
              <w:rPr>
                <w:rFonts w:ascii="Segoe UI" w:eastAsia="Times New Roman" w:hAnsi="Segoe UI" w:cs="Segoe UI"/>
                <w:color w:val="555555"/>
                <w:sz w:val="20"/>
                <w:szCs w:val="20"/>
              </w:rPr>
              <w:t>витратні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матеріали</w:t>
            </w:r>
            <w:proofErr w:type="spellEnd"/>
            <w:r w:rsidRPr="008753B9">
              <w:rPr>
                <w:rFonts w:ascii="Segoe UI" w:eastAsia="Times New Roman" w:hAnsi="Segoe UI" w:cs="Segoe UI"/>
                <w:color w:val="555555"/>
                <w:sz w:val="20"/>
                <w:szCs w:val="20"/>
              </w:rPr>
              <w:t>)</w:t>
            </w:r>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Формула</w:t>
            </w:r>
            <w:proofErr w:type="spellEnd"/>
            <w:r w:rsidRPr="008753B9">
              <w:rPr>
                <w:rFonts w:ascii="Segoe UI" w:eastAsia="Times New Roman" w:hAnsi="Segoe UI" w:cs="Segoe UI"/>
                <w:color w:val="555555"/>
                <w:sz w:val="24"/>
                <w:szCs w:val="24"/>
              </w:rPr>
              <w:t>:</w:t>
            </w:r>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Оцінка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витрат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експлуатації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обладнання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розхідні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матеріали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ресурси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одиницю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обладнання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рік</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необхідних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одиниць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обладнання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одному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малого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підприємництва</w:t>
            </w:r>
            <w:proofErr w:type="spellEnd"/>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4</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Процедури обслуговування обладнання (технічне обслуговування)</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Оцінка вартості процедури обслуговування обладнання (на одиницю обладнання) Х кількість процедур</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5</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Разом, гривень</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(сума рядків 1 + 2 + 3 + 4 + 5)</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rPr>
              <w:t> </w:t>
            </w:r>
          </w:p>
          <w:p w:rsidR="008753B9" w:rsidRPr="008753B9" w:rsidRDefault="008753B9" w:rsidP="008753B9">
            <w:pPr>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w:t>
            </w:r>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6</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Кількість суб’єктів господарювання, що повинні виконати вимоги регулювання, одиниць</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   </w:t>
            </w:r>
            <w:r w:rsidRPr="008753B9">
              <w:rPr>
                <w:rFonts w:ascii="Segoe UI" w:eastAsia="Times New Roman" w:hAnsi="Segoe UI" w:cs="Segoe UI"/>
                <w:color w:val="555555"/>
                <w:sz w:val="20"/>
                <w:szCs w:val="20"/>
                <w:lang w:val="ru-RU"/>
              </w:rPr>
              <w:t xml:space="preserve"> </w:t>
            </w:r>
            <w:r w:rsidRPr="008753B9">
              <w:rPr>
                <w:rFonts w:ascii="Segoe UI" w:eastAsia="Times New Roman" w:hAnsi="Segoe UI" w:cs="Segoe UI"/>
                <w:color w:val="555555"/>
                <w:sz w:val="20"/>
                <w:szCs w:val="20"/>
              </w:rPr>
              <w:t>114</w:t>
            </w:r>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7</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Сумарно, гривень</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відповідний стовпчик “разом” Х кількість суб’єктів малого підприємництва, що повинні виконати вимоги регулювання (рядок 6 Х рядок 7)</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114 *0,0=0,0грн.</w:t>
            </w:r>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8</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Процедури отримання первинної інформації про вимоги регулювання</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 оціночна кількість форм</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lastRenderedPageBreak/>
              <w:t>Оціночно</w:t>
            </w:r>
            <w:proofErr w:type="spellEnd"/>
            <w:r w:rsidRPr="008753B9">
              <w:rPr>
                <w:rFonts w:ascii="Segoe UI" w:eastAsia="Times New Roman" w:hAnsi="Segoe UI" w:cs="Segoe UI"/>
                <w:color w:val="555555"/>
                <w:sz w:val="20"/>
                <w:szCs w:val="20"/>
              </w:rPr>
              <w:t xml:space="preserve">: 0,25 </w:t>
            </w:r>
            <w:proofErr w:type="spellStart"/>
            <w:r w:rsidRPr="008753B9">
              <w:rPr>
                <w:rFonts w:ascii="Segoe UI" w:eastAsia="Times New Roman" w:hAnsi="Segoe UI" w:cs="Segoe UI"/>
                <w:color w:val="555555"/>
                <w:sz w:val="20"/>
                <w:szCs w:val="20"/>
              </w:rPr>
              <w:t>годин</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9</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Процедури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організації</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виконання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вимог</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регулювання</w:t>
            </w:r>
            <w:proofErr w:type="spellEnd"/>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розроблення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організацію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внутрішніх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для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господарювання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процедур</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впровадження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вимог</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Формула</w:t>
            </w:r>
            <w:proofErr w:type="spellEnd"/>
            <w:r w:rsidRPr="008753B9">
              <w:rPr>
                <w:rFonts w:ascii="Segoe UI" w:eastAsia="Times New Roman" w:hAnsi="Segoe UI" w:cs="Segoe UI"/>
                <w:color w:val="555555"/>
                <w:sz w:val="24"/>
                <w:szCs w:val="24"/>
              </w:rPr>
              <w:t>:</w:t>
            </w:r>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розроблення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впровадження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внутрішніх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для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малого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підприємництва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процедур</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впровадження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вимог</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вартість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малого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підприємництва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заробітна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плата</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оціночна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внутрішніх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процедур</w:t>
            </w:r>
            <w:proofErr w:type="spellEnd"/>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Оціночно</w:t>
            </w:r>
            <w:proofErr w:type="spellEnd"/>
            <w:r w:rsidRPr="008753B9">
              <w:rPr>
                <w:rFonts w:ascii="Segoe UI" w:eastAsia="Times New Roman" w:hAnsi="Segoe UI" w:cs="Segoe UI"/>
                <w:color w:val="555555"/>
                <w:sz w:val="20"/>
                <w:szCs w:val="20"/>
              </w:rPr>
              <w:t xml:space="preserve">: 0,5годин*12=6 </w:t>
            </w:r>
            <w:proofErr w:type="spellStart"/>
            <w:r w:rsidRPr="008753B9">
              <w:rPr>
                <w:rFonts w:ascii="Segoe UI" w:eastAsia="Times New Roman" w:hAnsi="Segoe UI" w:cs="Segoe UI"/>
                <w:color w:val="555555"/>
                <w:sz w:val="20"/>
                <w:szCs w:val="20"/>
              </w:rPr>
              <w:t>годин</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10</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Процедури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офіційного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звітування</w:t>
            </w:r>
            <w:proofErr w:type="spellEnd"/>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Формула</w:t>
            </w:r>
            <w:proofErr w:type="spellEnd"/>
            <w:r w:rsidRPr="008753B9">
              <w:rPr>
                <w:rFonts w:ascii="Segoe UI" w:eastAsia="Times New Roman" w:hAnsi="Segoe UI" w:cs="Segoe UI"/>
                <w:color w:val="555555"/>
                <w:sz w:val="24"/>
                <w:szCs w:val="24"/>
              </w:rPr>
              <w:t>:</w:t>
            </w:r>
          </w:p>
          <w:p w:rsidR="008753B9" w:rsidRPr="008753B9" w:rsidRDefault="008753B9" w:rsidP="008753B9">
            <w:pPr>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отримання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інформації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порядок</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звітування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щодо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отримання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необхідних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форм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визначення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органу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що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приймає</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місця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звітності</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заповнення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форм</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передачу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форм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окремо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засобами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передачі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інформації</w:t>
            </w:r>
            <w:proofErr w:type="spellEnd"/>
            <w:r w:rsidRPr="008753B9">
              <w:rPr>
                <w:rFonts w:ascii="Segoe UI" w:eastAsia="Times New Roman" w:hAnsi="Segoe UI" w:cs="Segoe UI"/>
                <w:color w:val="555555"/>
                <w:sz w:val="24"/>
                <w:szCs w:val="24"/>
              </w:rPr>
              <w:t xml:space="preserve"> з </w:t>
            </w:r>
            <w:proofErr w:type="spellStart"/>
            <w:r w:rsidRPr="008753B9">
              <w:rPr>
                <w:rFonts w:ascii="Segoe UI" w:eastAsia="Times New Roman" w:hAnsi="Segoe UI" w:cs="Segoe UI"/>
                <w:color w:val="555555"/>
                <w:sz w:val="24"/>
                <w:szCs w:val="24"/>
              </w:rPr>
              <w:t>оцінкою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кількості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суб’єктів</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що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користуються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формами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засобів</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окремо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електронна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органу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поштовим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зв’язком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тощо</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оцінка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витрат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корегування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оцінка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природного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рівня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помилок</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вартість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малого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підприємництва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заробітна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плата</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оціночна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оригінальних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звітів</w:t>
            </w:r>
            <w:proofErr w:type="spellEnd"/>
            <w:r w:rsidRPr="008753B9">
              <w:rPr>
                <w:rFonts w:ascii="Segoe UI" w:eastAsia="Times New Roman" w:hAnsi="Segoe UI" w:cs="Segoe UI"/>
                <w:color w:val="555555"/>
                <w:sz w:val="24"/>
                <w:szCs w:val="24"/>
              </w:rPr>
              <w:t xml:space="preserve"> Х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періодів</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звітності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рік</w:t>
            </w:r>
            <w:proofErr w:type="spellEnd"/>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Оціночно</w:t>
            </w:r>
            <w:proofErr w:type="spellEnd"/>
            <w:r w:rsidRPr="008753B9">
              <w:rPr>
                <w:rFonts w:ascii="Segoe UI" w:eastAsia="Times New Roman" w:hAnsi="Segoe UI" w:cs="Segoe UI"/>
                <w:color w:val="555555"/>
                <w:sz w:val="20"/>
                <w:szCs w:val="20"/>
              </w:rPr>
              <w:t xml:space="preserve">: 0,5 </w:t>
            </w:r>
            <w:proofErr w:type="spellStart"/>
            <w:r w:rsidRPr="008753B9">
              <w:rPr>
                <w:rFonts w:ascii="Segoe UI" w:eastAsia="Times New Roman" w:hAnsi="Segoe UI" w:cs="Segoe UI"/>
                <w:color w:val="555555"/>
                <w:sz w:val="20"/>
                <w:szCs w:val="20"/>
              </w:rPr>
              <w:t>години</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Процедури щодо забезпечення процесу перевірок</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Формула:</w:t>
            </w:r>
          </w:p>
          <w:p w:rsidR="008753B9" w:rsidRPr="008753B9" w:rsidRDefault="008753B9" w:rsidP="008753B9">
            <w:pPr>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12</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Інші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процедури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уточнити</w:t>
            </w:r>
            <w:proofErr w:type="spellEnd"/>
            <w:r w:rsidRPr="008753B9">
              <w:rPr>
                <w:rFonts w:ascii="Segoe UI" w:eastAsia="Times New Roman" w:hAnsi="Segoe UI" w:cs="Segoe UI"/>
                <w:color w:val="555555"/>
                <w:sz w:val="20"/>
                <w:szCs w:val="20"/>
              </w:rPr>
              <w:t>)</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 –</w:t>
            </w:r>
          </w:p>
        </w:tc>
      </w:tr>
      <w:tr w:rsidR="008753B9" w:rsidRPr="008753B9" w:rsidTr="008753B9">
        <w:tc>
          <w:tcPr>
            <w:tcW w:w="6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13</w:t>
            </w:r>
          </w:p>
        </w:tc>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Кількість</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суб’єктів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малого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підприємництва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що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повинні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виконати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вимоги</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регулювання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одиниць</w:t>
            </w:r>
            <w:proofErr w:type="spellEnd"/>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114</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color w:val="555555"/>
          <w:sz w:val="24"/>
          <w:szCs w:val="24"/>
          <w:lang w:val="ru-RU"/>
        </w:rPr>
        <w:lastRenderedPageBreak/>
        <w:t>Бюджетні витрати на адміністрування регулювання суб’єктів малого підприємництва</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Державний орган, для якого здійснюється розрахунок вартості адміністрування регулювання: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Виконавчий комітет</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Крижанівської сільської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(назва державного органу)</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193"/>
        <w:gridCol w:w="2245"/>
        <w:gridCol w:w="2781"/>
        <w:gridCol w:w="2472"/>
        <w:gridCol w:w="2637"/>
        <w:gridCol w:w="3172"/>
      </w:tblGrid>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Процедура регулювання суб’єктів малого підприємництва (розрахунок на одного типового суб’єкта господарювання малого підприємництва )</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Планові витрати часу на процедуру</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Вартість часу співробітника органу державної влади відповідної категорії (заробітна плата)</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Оцінка кількості процедур за рік, що припадають на одного суб’єкта</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Оцінка кількості суб’єктів, що підпадають під дію процедури регулювання</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Витрати на адміністрування регулювання* (за рік), гривень</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1. Облік суб’єкта господарювання, що перебуває у сфері регулювання</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2. Поточний контроль за суб’єктом господарювання, що перебуває у сфері регулювання, у тому числі: камеральні , виїзні</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3. Підготовка, затвердження та опрацювання одного окремого акту про порушення вимог регулювання</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4. Реалізація одного окремого рішення щодо порушення вимог регулювання</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lastRenderedPageBreak/>
              <w:t>5. Оскарження одного окремого рішення суб’єктами господарювання</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6. Підготовка звітності за результатами регулювання</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Разом</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за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рік</w:t>
            </w:r>
            <w:proofErr w:type="spellEnd"/>
          </w:p>
        </w:tc>
        <w:tc>
          <w:tcPr>
            <w:tcW w:w="163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х</w:t>
            </w:r>
          </w:p>
        </w:tc>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х</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х</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х</w:t>
            </w:r>
          </w:p>
        </w:tc>
        <w:tc>
          <w:tcPr>
            <w:tcW w:w="231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Вартість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витрат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пов’язаних</w:t>
      </w:r>
      <w:proofErr w:type="spellEnd"/>
      <w:r w:rsidRPr="008753B9">
        <w:rPr>
          <w:rFonts w:ascii="Segoe UI" w:eastAsia="Times New Roman" w:hAnsi="Segoe UI" w:cs="Segoe UI"/>
          <w:color w:val="555555"/>
          <w:sz w:val="24"/>
          <w:szCs w:val="24"/>
        </w:rPr>
        <w:t xml:space="preserve"> з </w:t>
      </w:r>
      <w:proofErr w:type="spellStart"/>
      <w:r w:rsidRPr="008753B9">
        <w:rPr>
          <w:rFonts w:ascii="Segoe UI" w:eastAsia="Times New Roman" w:hAnsi="Segoe UI" w:cs="Segoe UI"/>
          <w:color w:val="555555"/>
          <w:sz w:val="24"/>
          <w:szCs w:val="24"/>
        </w:rPr>
        <w:t>адмініструванням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державними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органами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визначається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шляхом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множення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фактичних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витрат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часу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персоналу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заробітну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плату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спеціаліста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відповідної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кваліфікації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w:t>
      </w:r>
      <w:proofErr w:type="spellStart"/>
      <w:r w:rsidRPr="008753B9">
        <w:rPr>
          <w:rFonts w:ascii="Segoe UI" w:eastAsia="Times New Roman" w:hAnsi="Segoe UI" w:cs="Segoe UI"/>
          <w:color w:val="555555"/>
          <w:sz w:val="24"/>
          <w:szCs w:val="24"/>
        </w:rPr>
        <w:t>суб’єктів</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що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підпадають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дію</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процедури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кількість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процедур</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рік</w:t>
      </w:r>
      <w:proofErr w:type="spellEnd"/>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proofErr w:type="spellStart"/>
      <w:proofErr w:type="gramStart"/>
      <w:r w:rsidRPr="008753B9">
        <w:rPr>
          <w:rFonts w:ascii="Segoe UI" w:eastAsia="Times New Roman" w:hAnsi="Segoe UI" w:cs="Segoe UI"/>
          <w:color w:val="555555"/>
          <w:sz w:val="24"/>
          <w:szCs w:val="24"/>
        </w:rPr>
        <w:t>Отже</w:t>
      </w:r>
      <w:proofErr w:type="spellEnd"/>
      <w:r w:rsidRPr="008753B9">
        <w:rPr>
          <w:rFonts w:ascii="Segoe UI" w:eastAsia="Times New Roman" w:hAnsi="Segoe UI" w:cs="Segoe UI"/>
          <w:color w:val="555555"/>
          <w:sz w:val="24"/>
          <w:szCs w:val="24"/>
        </w:rPr>
        <w:t>,   </w:t>
      </w:r>
      <w:proofErr w:type="gram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бюджетні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витрати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адміністрування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регулювання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суб’єктів</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малого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підприємництва</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відсутні</w:t>
      </w:r>
      <w:proofErr w:type="spellEnd"/>
      <w:r w:rsidRPr="008753B9">
        <w:rPr>
          <w:rFonts w:ascii="Segoe UI" w:eastAsia="Times New Roman" w:hAnsi="Segoe UI" w:cs="Segoe UI"/>
          <w:color w:val="555555"/>
          <w:sz w:val="24"/>
          <w:szCs w:val="24"/>
        </w:rPr>
        <w:t>.</w:t>
      </w:r>
    </w:p>
    <w:p w:rsidR="008753B9" w:rsidRPr="008753B9" w:rsidRDefault="008753B9" w:rsidP="008753B9">
      <w:pPr>
        <w:numPr>
          <w:ilvl w:val="0"/>
          <w:numId w:val="23"/>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Розрахунок сумарних витрат суб’єктів малого підприємництва, що виникають на виконання вимог регулювання</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269"/>
        <w:gridCol w:w="9702"/>
        <w:gridCol w:w="5529"/>
      </w:tblGrid>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Показник</w:t>
            </w:r>
            <w:proofErr w:type="spellEnd"/>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Перший</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рік</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регулювання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стартовий</w:t>
            </w:r>
            <w:proofErr w:type="spellEnd"/>
            <w:r w:rsidRPr="008753B9">
              <w:rPr>
                <w:rFonts w:ascii="Segoe UI" w:eastAsia="Times New Roman" w:hAnsi="Segoe UI" w:cs="Segoe UI"/>
                <w:color w:val="555555"/>
                <w:sz w:val="20"/>
                <w:szCs w:val="20"/>
              </w:rPr>
              <w:t>)</w:t>
            </w:r>
          </w:p>
        </w:tc>
      </w:tr>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1</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Оцінка “прямих” витрат суб’єктів малого підприємництва на виконання регулювання</w:t>
            </w:r>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Сума сплаченого акцизного податку -18989950 грн.</w:t>
            </w:r>
          </w:p>
        </w:tc>
      </w:tr>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2</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Оцінка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вартості</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адміністративних</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процедур</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для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суб’єктів</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малого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підприємництва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щодо</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виконання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регулювання</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та</w:t>
            </w:r>
            <w:proofErr w:type="spellEnd"/>
            <w:r w:rsidRPr="008753B9">
              <w:rPr>
                <w:rFonts w:ascii="Segoe UI" w:eastAsia="Times New Roman" w:hAnsi="Segoe UI" w:cs="Segoe UI"/>
                <w:color w:val="555555"/>
                <w:sz w:val="20"/>
                <w:szCs w:val="20"/>
              </w:rPr>
              <w:t xml:space="preserve"> </w:t>
            </w:r>
            <w:proofErr w:type="spellStart"/>
            <w:r w:rsidRPr="008753B9">
              <w:rPr>
                <w:rFonts w:ascii="Segoe UI" w:eastAsia="Times New Roman" w:hAnsi="Segoe UI" w:cs="Segoe UI"/>
                <w:color w:val="555555"/>
                <w:sz w:val="20"/>
                <w:szCs w:val="20"/>
              </w:rPr>
              <w:t>звітування</w:t>
            </w:r>
            <w:proofErr w:type="spellEnd"/>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3</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Сумарні витрати малого підприємництва на виконання запланованого регулювання( рядок 1+ рядок2)</w:t>
            </w:r>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4</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Бюджетні витрати на адміністрування регулювання суб’єктів малого підприємництва</w:t>
            </w:r>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proofErr w:type="spellStart"/>
            <w:r w:rsidRPr="008753B9">
              <w:rPr>
                <w:rFonts w:ascii="Segoe UI" w:eastAsia="Times New Roman" w:hAnsi="Segoe UI" w:cs="Segoe UI"/>
                <w:color w:val="555555"/>
                <w:sz w:val="20"/>
                <w:szCs w:val="20"/>
              </w:rPr>
              <w:t>Відсутні</w:t>
            </w:r>
            <w:proofErr w:type="spellEnd"/>
          </w:p>
        </w:tc>
      </w:tr>
      <w:tr w:rsidR="008753B9" w:rsidRPr="008753B9" w:rsidTr="008753B9">
        <w:tc>
          <w:tcPr>
            <w:tcW w:w="88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5</w:t>
            </w:r>
          </w:p>
        </w:tc>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lang w:val="ru-RU"/>
              </w:rPr>
            </w:pPr>
            <w:r w:rsidRPr="008753B9">
              <w:rPr>
                <w:rFonts w:ascii="Segoe UI" w:eastAsia="Times New Roman" w:hAnsi="Segoe UI" w:cs="Segoe UI"/>
                <w:color w:val="555555"/>
                <w:sz w:val="20"/>
                <w:szCs w:val="20"/>
                <w:lang w:val="ru-RU"/>
              </w:rPr>
              <w:t>Сумарні витрати на виконання запланованого регулювання( рядок 1+ рядок2 + рядок 4)</w:t>
            </w:r>
          </w:p>
        </w:tc>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8753B9" w:rsidRPr="008753B9" w:rsidRDefault="008753B9" w:rsidP="008753B9">
            <w:pPr>
              <w:spacing w:after="300" w:line="240" w:lineRule="auto"/>
              <w:rPr>
                <w:rFonts w:ascii="Segoe UI" w:eastAsia="Times New Roman" w:hAnsi="Segoe UI" w:cs="Segoe UI"/>
                <w:color w:val="555555"/>
                <w:sz w:val="20"/>
                <w:szCs w:val="20"/>
              </w:rPr>
            </w:pPr>
            <w:r w:rsidRPr="008753B9">
              <w:rPr>
                <w:rFonts w:ascii="Segoe UI" w:eastAsia="Times New Roman" w:hAnsi="Segoe UI" w:cs="Segoe UI"/>
                <w:color w:val="555555"/>
                <w:sz w:val="20"/>
                <w:szCs w:val="20"/>
              </w:rPr>
              <w:t>–</w:t>
            </w:r>
          </w:p>
        </w:tc>
      </w:tr>
    </w:tbl>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r w:rsidRPr="008753B9">
        <w:rPr>
          <w:rFonts w:ascii="Segoe UI" w:eastAsia="Times New Roman" w:hAnsi="Segoe UI" w:cs="Segoe UI"/>
          <w:color w:val="555555"/>
          <w:sz w:val="24"/>
          <w:szCs w:val="24"/>
        </w:rPr>
        <w:t> </w:t>
      </w:r>
    </w:p>
    <w:p w:rsidR="008753B9" w:rsidRPr="008753B9" w:rsidRDefault="008753B9" w:rsidP="008753B9">
      <w:pPr>
        <w:numPr>
          <w:ilvl w:val="0"/>
          <w:numId w:val="24"/>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Розроблення корегуючих (пом’якшувальних) заходів для малого підприємництва щодо запропонованого регулювання.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Корегуючі (пом’якшувальні) заходи для малого підприємництва щодо запропонованого регулювання- відсутні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i/>
          <w:iCs/>
          <w:color w:val="555555"/>
          <w:sz w:val="24"/>
          <w:szCs w:val="24"/>
          <w:lang w:val="ru-RU"/>
        </w:rPr>
        <w:t>Експертний висновок</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b/>
          <w:bCs/>
          <w:i/>
          <w:iCs/>
          <w:color w:val="555555"/>
          <w:sz w:val="24"/>
          <w:szCs w:val="24"/>
          <w:lang w:val="ru-RU"/>
        </w:rPr>
        <w:t>постійної депутатської комісії з прав людини, регламенту, депутатської діяльності, етики, законності, регуляторної політики та конфлікту інтересів Крижанівської сільської ради Лиманського району Одеської області</w:t>
      </w:r>
      <w:r w:rsidRPr="008753B9">
        <w:rPr>
          <w:rFonts w:ascii="Segoe UI" w:eastAsia="Times New Roman" w:hAnsi="Segoe UI" w:cs="Segoe UI"/>
          <w:b/>
          <w:bCs/>
          <w:i/>
          <w:iCs/>
          <w:color w:val="555555"/>
          <w:sz w:val="24"/>
          <w:szCs w:val="24"/>
        </w:rPr>
        <w:t> </w:t>
      </w:r>
      <w:r w:rsidRPr="008753B9">
        <w:rPr>
          <w:rFonts w:ascii="Segoe UI" w:eastAsia="Times New Roman" w:hAnsi="Segoe UI" w:cs="Segoe UI"/>
          <w:b/>
          <w:bCs/>
          <w:i/>
          <w:iCs/>
          <w:color w:val="555555"/>
          <w:sz w:val="24"/>
          <w:szCs w:val="24"/>
          <w:lang w:val="ru-RU"/>
        </w:rPr>
        <w:t>щодо регуляторного впливу</w:t>
      </w:r>
      <w:r w:rsidRPr="008753B9">
        <w:rPr>
          <w:rFonts w:ascii="Segoe UI" w:eastAsia="Times New Roman" w:hAnsi="Segoe UI" w:cs="Segoe UI"/>
          <w:b/>
          <w:bCs/>
          <w:i/>
          <w:iCs/>
          <w:color w:val="555555"/>
          <w:sz w:val="24"/>
          <w:szCs w:val="24"/>
        </w:rPr>
        <w:t> </w:t>
      </w:r>
      <w:r w:rsidRPr="008753B9">
        <w:rPr>
          <w:rFonts w:ascii="Segoe UI" w:eastAsia="Times New Roman" w:hAnsi="Segoe UI" w:cs="Segoe UI"/>
          <w:b/>
          <w:bCs/>
          <w:i/>
          <w:iCs/>
          <w:color w:val="555555"/>
          <w:sz w:val="24"/>
          <w:szCs w:val="24"/>
          <w:lang w:val="ru-RU"/>
        </w:rPr>
        <w:t>проекту рішення Крижанівської сільської ради</w:t>
      </w:r>
      <w:r w:rsidRPr="008753B9">
        <w:rPr>
          <w:rFonts w:ascii="Segoe UI" w:eastAsia="Times New Roman" w:hAnsi="Segoe UI" w:cs="Segoe UI"/>
          <w:b/>
          <w:bCs/>
          <w:i/>
          <w:iCs/>
          <w:color w:val="555555"/>
          <w:sz w:val="24"/>
          <w:szCs w:val="24"/>
        </w:rPr>
        <w:t> </w:t>
      </w:r>
      <w:r w:rsidRPr="008753B9">
        <w:rPr>
          <w:rFonts w:ascii="Segoe UI" w:eastAsia="Times New Roman" w:hAnsi="Segoe UI" w:cs="Segoe UI"/>
          <w:b/>
          <w:bCs/>
          <w:i/>
          <w:iCs/>
          <w:color w:val="555555"/>
          <w:sz w:val="24"/>
          <w:szCs w:val="24"/>
          <w:lang w:val="ru-RU"/>
        </w:rPr>
        <w:t xml:space="preserve">Про встановлення ставки акцизного податку з юридичних та фізичних осіб на території </w:t>
      </w:r>
      <w:proofErr w:type="gramStart"/>
      <w:r w:rsidRPr="008753B9">
        <w:rPr>
          <w:rFonts w:ascii="Segoe UI" w:eastAsia="Times New Roman" w:hAnsi="Segoe UI" w:cs="Segoe UI"/>
          <w:b/>
          <w:bCs/>
          <w:i/>
          <w:iCs/>
          <w:color w:val="555555"/>
          <w:sz w:val="24"/>
          <w:szCs w:val="24"/>
          <w:lang w:val="ru-RU"/>
        </w:rPr>
        <w:t>Крижанівської</w:t>
      </w:r>
      <w:r w:rsidRPr="008753B9">
        <w:rPr>
          <w:rFonts w:ascii="Segoe UI" w:eastAsia="Times New Roman" w:hAnsi="Segoe UI" w:cs="Segoe UI"/>
          <w:b/>
          <w:bCs/>
          <w:i/>
          <w:iCs/>
          <w:color w:val="555555"/>
          <w:sz w:val="24"/>
          <w:szCs w:val="24"/>
        </w:rPr>
        <w:t> </w:t>
      </w:r>
      <w:r w:rsidRPr="008753B9">
        <w:rPr>
          <w:rFonts w:ascii="Segoe UI" w:eastAsia="Times New Roman" w:hAnsi="Segoe UI" w:cs="Segoe UI"/>
          <w:b/>
          <w:bCs/>
          <w:i/>
          <w:iCs/>
          <w:color w:val="555555"/>
          <w:sz w:val="24"/>
          <w:szCs w:val="24"/>
          <w:lang w:val="ru-RU"/>
        </w:rPr>
        <w:t xml:space="preserve"> сільської</w:t>
      </w:r>
      <w:proofErr w:type="gramEnd"/>
      <w:r w:rsidRPr="008753B9">
        <w:rPr>
          <w:rFonts w:ascii="Segoe UI" w:eastAsia="Times New Roman" w:hAnsi="Segoe UI" w:cs="Segoe UI"/>
          <w:b/>
          <w:bCs/>
          <w:i/>
          <w:iCs/>
          <w:color w:val="555555"/>
          <w:sz w:val="24"/>
          <w:szCs w:val="24"/>
          <w:lang w:val="ru-RU"/>
        </w:rPr>
        <w:t xml:space="preserve">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rPr>
        <w:t> </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Постійна депутатська </w:t>
      </w:r>
      <w:proofErr w:type="gramStart"/>
      <w:r w:rsidRPr="008753B9">
        <w:rPr>
          <w:rFonts w:ascii="Segoe UI" w:eastAsia="Times New Roman" w:hAnsi="Segoe UI" w:cs="Segoe UI"/>
          <w:color w:val="555555"/>
          <w:sz w:val="24"/>
          <w:szCs w:val="24"/>
          <w:lang w:val="ru-RU"/>
        </w:rPr>
        <w:t>комісія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з</w:t>
      </w:r>
      <w:proofErr w:type="gramEnd"/>
      <w:r w:rsidRPr="008753B9">
        <w:rPr>
          <w:rFonts w:ascii="Segoe UI" w:eastAsia="Times New Roman" w:hAnsi="Segoe UI" w:cs="Segoe UI"/>
          <w:color w:val="555555"/>
          <w:sz w:val="24"/>
          <w:szCs w:val="24"/>
          <w:lang w:val="ru-RU"/>
        </w:rPr>
        <w:t xml:space="preserve"> прав людини, регламенту, депутатської діяльності, етики, законності, регуляторної політики та конфлікту інтересів Крижанівської сільської ради, керуючись статтями 4, 8, 34 Закону України «Про засади державної регуляторної політики у сфері господарської діяльності», розглянула проект рішення Крижанівської сільської ради «Про ставки акцизного податку з юридичних та фізичних осіб на території Крижанівської сільської ради» на 2020 рік та встановила наступне.</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Зазначений проект рішення був розроблений з метою забезпечення сталого соціально – економічного розвитку територіальної громади, запобігання втратам сільського бюджету.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Розробником регуляторного акту є депутат Крижанівської сільської ради Спельнік С.В.</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Проект рішення підготовлено на підставі Закону України «Про місцеве самоврядування в Україні»,</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Податкового кодексу України, Закону України «Про засади державної регуляторної політики у сфері господарської діяльності», </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 24.12.2015 №909-УІІІ та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№2245-19 від 07.12.2017 (зі змінами).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Затвердження ставок акцизного податку з реалізації суб’єктами господарювання роздрібної торгівлі підакцизних товарів, дасть можливість сільській раді одержати більше додаткових коштів для реалізації програм соціально-економічного розвитку громади Крижанівської сільської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1.Відповідність проекту регуляторного акту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Проаналізувавши проект регуляторного акту, постійна комісія визначає наступне.</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Ситуація яка вплинула на необхідність його розробки свідчить про необхідність державного регулювання господарських відносин з метою вирішення існуючої проблеми.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Відповідно до Податкового кодексу України, відносини, що вини</w:t>
      </w:r>
      <w:r w:rsidRPr="008753B9">
        <w:rPr>
          <w:rFonts w:ascii="Segoe UI" w:eastAsia="Times New Roman" w:hAnsi="Segoe UI" w:cs="Segoe UI"/>
          <w:color w:val="555555"/>
          <w:sz w:val="24"/>
          <w:szCs w:val="24"/>
          <w:lang w:val="ru-RU"/>
        </w:rPr>
        <w:softHyphen/>
        <w:t>кають у сфері справляння податків і зборів, регулюються Податковим кодексом України та відповідно до статті 12 цього Кодексу передбачено, що рішення про встановлення місцевих податків та зборів на певній території, в межах визначених повноважень, приймають сільські, селищні, міські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xml:space="preserve">Затвердження ставок акцизних податків передбачених проектом </w:t>
      </w:r>
      <w:proofErr w:type="gramStart"/>
      <w:r w:rsidRPr="008753B9">
        <w:rPr>
          <w:rFonts w:ascii="Segoe UI" w:eastAsia="Times New Roman" w:hAnsi="Segoe UI" w:cs="Segoe UI"/>
          <w:color w:val="555555"/>
          <w:sz w:val="24"/>
          <w:szCs w:val="24"/>
          <w:lang w:val="ru-RU"/>
        </w:rPr>
        <w:t>рішення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Крижанівської</w:t>
      </w:r>
      <w:proofErr w:type="gramEnd"/>
      <w:r w:rsidRPr="008753B9">
        <w:rPr>
          <w:rFonts w:ascii="Segoe UI" w:eastAsia="Times New Roman" w:hAnsi="Segoe UI" w:cs="Segoe UI"/>
          <w:color w:val="555555"/>
          <w:sz w:val="24"/>
          <w:szCs w:val="24"/>
          <w:lang w:val="ru-RU"/>
        </w:rPr>
        <w:t xml:space="preserve"> сільської ради «Про ставки акцизного податку з юридичних та фізичних осіб на території Крижанівської сільської ради» на 2020 рік, дасть можливість сільській раді одержати більше додаткових коштів для реалізації програм соціально-економічного розвитку територіальної громади сіл.</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Проект передбачає забезпечення досягнення внаслідок дії регуляторного акту максимально можливих позитивних результатів за рахунок мінімально необхідних витрат ресурсів та балансу інтересів суб’єктів господарювання, громадян та держави.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При підготовці проекту регуляторного акту витримана послідовність регуляторної діяльності: проект відповідає цілям державної регуляторної політики, а також його включено до плану діяльності з підготовки проектів регуляторних актів на 2020 рік.</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Повідомлення про оприлюднення проекту рішення Крижанівської сільської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ради регуляторного акту «Про ставки акцизного податку з юридичних та фізичних осіб на території Крижанівської сільської ради», проект рішення Крижанівської сільської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ради «Про ставки акцизного податку з юридичних та фізичних осіб на території Крижанівської сільської ради», аналіз регуляторного впливу проекту рішення Крижанівської сільської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ради </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«Про ставки акцизного податку з юридичних та фізичних осіб на території Крижанівської сільської ради» розміщено на офіційному веб-сайті Крижанівської сільської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ради в мережі Інтернет з метою отримання зауважень та пропозицій.</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Таким чином, проект регуляторного акту – проект рішення Крижанівської сільської ради «Про ставки акцизного податку з юридичних та фізичних осіб на території Крижанівської сільської ради» відповідає усім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 а саме: доцільність, адекватність, ефективність, збалансованість, передбачуваність, прозорість та врахування громадської думки.</w:t>
      </w:r>
    </w:p>
    <w:p w:rsidR="008753B9" w:rsidRPr="008753B9" w:rsidRDefault="008753B9" w:rsidP="008753B9">
      <w:pPr>
        <w:numPr>
          <w:ilvl w:val="0"/>
          <w:numId w:val="25"/>
        </w:numPr>
        <w:shd w:val="clear" w:color="auto" w:fill="FFFFFF"/>
        <w:spacing w:after="0" w:line="240" w:lineRule="auto"/>
        <w:ind w:left="300"/>
        <w:rPr>
          <w:rFonts w:ascii="Segoe UI" w:eastAsia="Times New Roman" w:hAnsi="Segoe UI" w:cs="Segoe UI"/>
          <w:color w:val="555555"/>
          <w:sz w:val="21"/>
          <w:szCs w:val="21"/>
          <w:lang w:val="ru-RU"/>
        </w:rPr>
      </w:pPr>
      <w:r w:rsidRPr="008753B9">
        <w:rPr>
          <w:rFonts w:ascii="Segoe UI" w:eastAsia="Times New Roman" w:hAnsi="Segoe UI" w:cs="Segoe UI"/>
          <w:color w:val="555555"/>
          <w:sz w:val="21"/>
          <w:szCs w:val="21"/>
          <w:lang w:val="ru-RU"/>
        </w:rPr>
        <w:t>Відповідність проекту регуляторного акту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lastRenderedPageBreak/>
        <w:t>Регуляторний акт спрямований на однозначне тлумачення відомостей, що містяться в рішенні, оскільки має вплив на визначення розміру ставки акцизного податку.</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У разі виявлення неврегульованих та проблемних моментів буде розглядатись можливість їх виправлення шляхом внесення відповідних змін.</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Запропонований регуляторний акт має вплив на суб’єктів </w:t>
      </w:r>
      <w:proofErr w:type="gramStart"/>
      <w:r w:rsidRPr="008753B9">
        <w:rPr>
          <w:rFonts w:ascii="Segoe UI" w:eastAsia="Times New Roman" w:hAnsi="Segoe UI" w:cs="Segoe UI"/>
          <w:color w:val="555555"/>
          <w:sz w:val="24"/>
          <w:szCs w:val="24"/>
          <w:lang w:val="ru-RU"/>
        </w:rPr>
        <w:t>господарювання,</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на</w:t>
      </w:r>
      <w:proofErr w:type="gramEnd"/>
      <w:r w:rsidRPr="008753B9">
        <w:rPr>
          <w:rFonts w:ascii="Segoe UI" w:eastAsia="Times New Roman" w:hAnsi="Segoe UI" w:cs="Segoe UI"/>
          <w:color w:val="555555"/>
          <w:sz w:val="24"/>
          <w:szCs w:val="24"/>
          <w:lang w:val="ru-RU"/>
        </w:rPr>
        <w:t xml:space="preserve"> території Крижанівської сільської</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Регуляторний акт забезпечує:</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отримання пропозицій від юридичних та фізичних осіб щодо встановлення ставок оподаткування;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проведення моніторингу ставок оподаткування на території Крижанівської сільської ради;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інформування суб’єктів підприємницької діяльності про вимоги прийнятого регуляторного акту.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Даний регуляторний акт мотивує суб’єктів господарювання, органи виконавчої влади та органи місцевого самоврядування виконувати встановлені вимоги тому, що:</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положення даного акту прості;</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 чітко врегульовані права та обов’язки суб’єктів, на яких поширюється вказаний акт.</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Єдиним законодавчо визначеним шляхом розв’язання викладеної проблеми є державне регулювання відносин, визначене Податковим кодексом України.</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Регулювання впливає на інтереси кожного з трьох учасників регуляторного процесу: територіальної громади, суб’єктів господарювання та органів місцевого самоврядування.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Забезпечить прозорий механізм справляння плати акцизного податку для фізичних та юридичних осіб.</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Упровадження та виконання вимог регуляторного акту не залежить від ресурсів органів місцевого самоврядування.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При змінах у чинному законодавстві України та за результатами відстеження результативності дії запропонованого регуляторного акту, якщо такі впливатимуть на його дію, до нього будуть вноситися відповідні коригування.</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Зазначений проект нормативно-правового акту</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є загальнообов’язковим до застосування на території Крижанівської сільської ради та має термін дії впродовж 2020 року.</w:t>
      </w:r>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lang w:val="ru-RU"/>
        </w:rPr>
      </w:pPr>
      <w:r w:rsidRPr="008753B9">
        <w:rPr>
          <w:rFonts w:ascii="Segoe UI" w:eastAsia="Times New Roman" w:hAnsi="Segoe UI" w:cs="Segoe UI"/>
          <w:color w:val="555555"/>
          <w:sz w:val="24"/>
          <w:szCs w:val="24"/>
          <w:lang w:val="ru-RU"/>
        </w:rPr>
        <w:t>Таким чином, проект регуляторного акту – проект рішення Крижанівської сільської ради</w:t>
      </w:r>
      <w:r w:rsidRPr="008753B9">
        <w:rPr>
          <w:rFonts w:ascii="Segoe UI" w:eastAsia="Times New Roman" w:hAnsi="Segoe UI" w:cs="Segoe UI"/>
          <w:color w:val="555555"/>
          <w:sz w:val="24"/>
          <w:szCs w:val="24"/>
        </w:rPr>
        <w:t> </w:t>
      </w:r>
      <w:r w:rsidRPr="008753B9">
        <w:rPr>
          <w:rFonts w:ascii="Segoe UI" w:eastAsia="Times New Roman" w:hAnsi="Segoe UI" w:cs="Segoe UI"/>
          <w:color w:val="555555"/>
          <w:sz w:val="24"/>
          <w:szCs w:val="24"/>
          <w:lang w:val="ru-RU"/>
        </w:rPr>
        <w:t xml:space="preserve">«Про ставки акцизного податку з юридичних та фізичних осіб на території Крижанівської сільської ради» відповідає усім принципам державної регуляторної </w:t>
      </w:r>
      <w:r w:rsidRPr="008753B9">
        <w:rPr>
          <w:rFonts w:ascii="Segoe UI" w:eastAsia="Times New Roman" w:hAnsi="Segoe UI" w:cs="Segoe UI"/>
          <w:color w:val="555555"/>
          <w:sz w:val="24"/>
          <w:szCs w:val="24"/>
          <w:lang w:val="ru-RU"/>
        </w:rPr>
        <w:lastRenderedPageBreak/>
        <w:t>політики встановленим статтею 8 Закону України «Про засади державної регуляторної політики у сфері господарської діяльності».</w:t>
      </w:r>
    </w:p>
    <w:p w:rsidR="008753B9" w:rsidRPr="008753B9" w:rsidRDefault="008753B9" w:rsidP="008753B9">
      <w:pPr>
        <w:numPr>
          <w:ilvl w:val="0"/>
          <w:numId w:val="26"/>
        </w:numPr>
        <w:shd w:val="clear" w:color="auto" w:fill="FFFFFF"/>
        <w:spacing w:after="0" w:line="240" w:lineRule="auto"/>
        <w:ind w:left="300"/>
        <w:rPr>
          <w:rFonts w:ascii="Segoe UI" w:eastAsia="Times New Roman" w:hAnsi="Segoe UI" w:cs="Segoe UI"/>
          <w:color w:val="555555"/>
          <w:sz w:val="21"/>
          <w:szCs w:val="21"/>
        </w:rPr>
      </w:pPr>
      <w:proofErr w:type="spellStart"/>
      <w:r w:rsidRPr="008753B9">
        <w:rPr>
          <w:rFonts w:ascii="Segoe UI" w:eastAsia="Times New Roman" w:hAnsi="Segoe UI" w:cs="Segoe UI"/>
          <w:color w:val="555555"/>
          <w:sz w:val="21"/>
          <w:szCs w:val="21"/>
        </w:rPr>
        <w:t>Узагальнений</w:t>
      </w:r>
      <w:proofErr w:type="spellEnd"/>
      <w:r w:rsidRPr="008753B9">
        <w:rPr>
          <w:rFonts w:ascii="Segoe UI" w:eastAsia="Times New Roman" w:hAnsi="Segoe UI" w:cs="Segoe UI"/>
          <w:color w:val="555555"/>
          <w:sz w:val="21"/>
          <w:szCs w:val="21"/>
        </w:rPr>
        <w:t xml:space="preserve"> </w:t>
      </w:r>
      <w:proofErr w:type="spellStart"/>
      <w:r w:rsidRPr="008753B9">
        <w:rPr>
          <w:rFonts w:ascii="Segoe UI" w:eastAsia="Times New Roman" w:hAnsi="Segoe UI" w:cs="Segoe UI"/>
          <w:color w:val="555555"/>
          <w:sz w:val="21"/>
          <w:szCs w:val="21"/>
        </w:rPr>
        <w:t>висновок</w:t>
      </w:r>
      <w:proofErr w:type="spellEnd"/>
    </w:p>
    <w:p w:rsidR="008753B9" w:rsidRPr="008753B9" w:rsidRDefault="008753B9" w:rsidP="008753B9">
      <w:pPr>
        <w:shd w:val="clear" w:color="auto" w:fill="FFFFFF"/>
        <w:spacing w:after="150" w:line="240" w:lineRule="auto"/>
        <w:rPr>
          <w:rFonts w:ascii="Segoe UI" w:eastAsia="Times New Roman" w:hAnsi="Segoe UI" w:cs="Segoe UI"/>
          <w:color w:val="555555"/>
          <w:sz w:val="24"/>
          <w:szCs w:val="24"/>
        </w:rPr>
      </w:pPr>
      <w:proofErr w:type="spellStart"/>
      <w:r w:rsidRPr="008753B9">
        <w:rPr>
          <w:rFonts w:ascii="Segoe UI" w:eastAsia="Times New Roman" w:hAnsi="Segoe UI" w:cs="Segoe UI"/>
          <w:color w:val="555555"/>
          <w:sz w:val="24"/>
          <w:szCs w:val="24"/>
        </w:rPr>
        <w:t>Проект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регуляторного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акту</w:t>
      </w:r>
      <w:proofErr w:type="spellEnd"/>
      <w:r w:rsidRPr="008753B9">
        <w:rPr>
          <w:rFonts w:ascii="Segoe UI" w:eastAsia="Times New Roman" w:hAnsi="Segoe UI" w:cs="Segoe UI"/>
          <w:color w:val="555555"/>
          <w:sz w:val="24"/>
          <w:szCs w:val="24"/>
        </w:rPr>
        <w:t xml:space="preserve"> – </w:t>
      </w:r>
      <w:proofErr w:type="spellStart"/>
      <w:r w:rsidRPr="008753B9">
        <w:rPr>
          <w:rFonts w:ascii="Segoe UI" w:eastAsia="Times New Roman" w:hAnsi="Segoe UI" w:cs="Segoe UI"/>
          <w:color w:val="555555"/>
          <w:sz w:val="24"/>
          <w:szCs w:val="24"/>
        </w:rPr>
        <w:t>проект</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рішення</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сільської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ради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ставки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акцизного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податку</w:t>
      </w:r>
      <w:proofErr w:type="spellEnd"/>
      <w:r w:rsidRPr="008753B9">
        <w:rPr>
          <w:rFonts w:ascii="Segoe UI" w:eastAsia="Times New Roman" w:hAnsi="Segoe UI" w:cs="Segoe UI"/>
          <w:color w:val="555555"/>
          <w:sz w:val="24"/>
          <w:szCs w:val="24"/>
        </w:rPr>
        <w:t xml:space="preserve"> з </w:t>
      </w:r>
      <w:proofErr w:type="spellStart"/>
      <w:r w:rsidRPr="008753B9">
        <w:rPr>
          <w:rFonts w:ascii="Segoe UI" w:eastAsia="Times New Roman" w:hAnsi="Segoe UI" w:cs="Segoe UI"/>
          <w:color w:val="555555"/>
          <w:sz w:val="24"/>
          <w:szCs w:val="24"/>
        </w:rPr>
        <w:t>юридичних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фізичних</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осіб</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на</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території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Крижанівської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сільської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ради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аналіз</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його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регуляторного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впливу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відповідають</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вимогам</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статей</w:t>
      </w:r>
      <w:proofErr w:type="spellEnd"/>
      <w:r w:rsidRPr="008753B9">
        <w:rPr>
          <w:rFonts w:ascii="Segoe UI" w:eastAsia="Times New Roman" w:hAnsi="Segoe UI" w:cs="Segoe UI"/>
          <w:color w:val="555555"/>
          <w:sz w:val="24"/>
          <w:szCs w:val="24"/>
        </w:rPr>
        <w:t xml:space="preserve"> 4 </w:t>
      </w:r>
      <w:proofErr w:type="spellStart"/>
      <w:r w:rsidRPr="008753B9">
        <w:rPr>
          <w:rFonts w:ascii="Segoe UI" w:eastAsia="Times New Roman" w:hAnsi="Segoe UI" w:cs="Segoe UI"/>
          <w:color w:val="555555"/>
          <w:sz w:val="24"/>
          <w:szCs w:val="24"/>
        </w:rPr>
        <w:t>та</w:t>
      </w:r>
      <w:proofErr w:type="spellEnd"/>
      <w:r w:rsidRPr="008753B9">
        <w:rPr>
          <w:rFonts w:ascii="Segoe UI" w:eastAsia="Times New Roman" w:hAnsi="Segoe UI" w:cs="Segoe UI"/>
          <w:color w:val="555555"/>
          <w:sz w:val="24"/>
          <w:szCs w:val="24"/>
        </w:rPr>
        <w:t xml:space="preserve"> 8 </w:t>
      </w:r>
      <w:proofErr w:type="spellStart"/>
      <w:r w:rsidRPr="008753B9">
        <w:rPr>
          <w:rFonts w:ascii="Segoe UI" w:eastAsia="Times New Roman" w:hAnsi="Segoe UI" w:cs="Segoe UI"/>
          <w:color w:val="555555"/>
          <w:sz w:val="24"/>
          <w:szCs w:val="24"/>
        </w:rPr>
        <w:t>Закону</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України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Про</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засади</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державної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регуляторної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політики</w:t>
      </w:r>
      <w:proofErr w:type="spellEnd"/>
      <w:r w:rsidRPr="008753B9">
        <w:rPr>
          <w:rFonts w:ascii="Segoe UI" w:eastAsia="Times New Roman" w:hAnsi="Segoe UI" w:cs="Segoe UI"/>
          <w:color w:val="555555"/>
          <w:sz w:val="24"/>
          <w:szCs w:val="24"/>
        </w:rPr>
        <w:t xml:space="preserve"> у </w:t>
      </w:r>
      <w:proofErr w:type="spellStart"/>
      <w:r w:rsidRPr="008753B9">
        <w:rPr>
          <w:rFonts w:ascii="Segoe UI" w:eastAsia="Times New Roman" w:hAnsi="Segoe UI" w:cs="Segoe UI"/>
          <w:color w:val="555555"/>
          <w:sz w:val="24"/>
          <w:szCs w:val="24"/>
        </w:rPr>
        <w:t>сфері</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господарської</w:t>
      </w:r>
      <w:proofErr w:type="spellEnd"/>
      <w:r w:rsidRPr="008753B9">
        <w:rPr>
          <w:rFonts w:ascii="Segoe UI" w:eastAsia="Times New Roman" w:hAnsi="Segoe UI" w:cs="Segoe UI"/>
          <w:color w:val="555555"/>
          <w:sz w:val="24"/>
          <w:szCs w:val="24"/>
        </w:rPr>
        <w:t xml:space="preserve"> </w:t>
      </w:r>
      <w:proofErr w:type="spellStart"/>
      <w:r w:rsidRPr="008753B9">
        <w:rPr>
          <w:rFonts w:ascii="Segoe UI" w:eastAsia="Times New Roman" w:hAnsi="Segoe UI" w:cs="Segoe UI"/>
          <w:color w:val="555555"/>
          <w:sz w:val="24"/>
          <w:szCs w:val="24"/>
        </w:rPr>
        <w:t>діяльності</w:t>
      </w:r>
      <w:proofErr w:type="spellEnd"/>
      <w:r w:rsidRPr="008753B9">
        <w:rPr>
          <w:rFonts w:ascii="Segoe UI" w:eastAsia="Times New Roman" w:hAnsi="Segoe UI" w:cs="Segoe UI"/>
          <w:color w:val="555555"/>
          <w:sz w:val="24"/>
          <w:szCs w:val="24"/>
        </w:rPr>
        <w:t>».</w:t>
      </w:r>
    </w:p>
    <w:p w:rsidR="00F112A7" w:rsidRPr="008753B9" w:rsidRDefault="00F112A7" w:rsidP="008753B9"/>
    <w:sectPr w:rsidR="00F112A7" w:rsidRPr="008753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16"/>
    <w:multiLevelType w:val="multilevel"/>
    <w:tmpl w:val="4618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335A3"/>
    <w:multiLevelType w:val="multilevel"/>
    <w:tmpl w:val="D028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C37BF"/>
    <w:multiLevelType w:val="multilevel"/>
    <w:tmpl w:val="9300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E226D"/>
    <w:multiLevelType w:val="multilevel"/>
    <w:tmpl w:val="C8C85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B3C96"/>
    <w:multiLevelType w:val="multilevel"/>
    <w:tmpl w:val="E866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11FAC"/>
    <w:multiLevelType w:val="multilevel"/>
    <w:tmpl w:val="8B42C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53475"/>
    <w:multiLevelType w:val="multilevel"/>
    <w:tmpl w:val="4860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45A38"/>
    <w:multiLevelType w:val="multilevel"/>
    <w:tmpl w:val="C8D41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1180D"/>
    <w:multiLevelType w:val="multilevel"/>
    <w:tmpl w:val="C954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90011"/>
    <w:multiLevelType w:val="multilevel"/>
    <w:tmpl w:val="515EF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066AC"/>
    <w:multiLevelType w:val="multilevel"/>
    <w:tmpl w:val="681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DB4CA8"/>
    <w:multiLevelType w:val="multilevel"/>
    <w:tmpl w:val="1BD2B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52B5D"/>
    <w:multiLevelType w:val="multilevel"/>
    <w:tmpl w:val="8CC2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D7EE7"/>
    <w:multiLevelType w:val="multilevel"/>
    <w:tmpl w:val="7262B3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FF04B1"/>
    <w:multiLevelType w:val="multilevel"/>
    <w:tmpl w:val="620CC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C2DC3"/>
    <w:multiLevelType w:val="multilevel"/>
    <w:tmpl w:val="BB4E2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D14CD"/>
    <w:multiLevelType w:val="multilevel"/>
    <w:tmpl w:val="5D306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FB10BD"/>
    <w:multiLevelType w:val="multilevel"/>
    <w:tmpl w:val="9210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93BF6"/>
    <w:multiLevelType w:val="multilevel"/>
    <w:tmpl w:val="045C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161F4"/>
    <w:multiLevelType w:val="multilevel"/>
    <w:tmpl w:val="29D8A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C52C4"/>
    <w:multiLevelType w:val="multilevel"/>
    <w:tmpl w:val="F7C61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1578B"/>
    <w:multiLevelType w:val="multilevel"/>
    <w:tmpl w:val="7DCE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17018"/>
    <w:multiLevelType w:val="multilevel"/>
    <w:tmpl w:val="192E6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12671C"/>
    <w:multiLevelType w:val="multilevel"/>
    <w:tmpl w:val="C0D2E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3E6AD7"/>
    <w:multiLevelType w:val="multilevel"/>
    <w:tmpl w:val="1D441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854D24"/>
    <w:multiLevelType w:val="multilevel"/>
    <w:tmpl w:val="3C4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24"/>
  </w:num>
  <w:num w:numId="4">
    <w:abstractNumId w:val="25"/>
  </w:num>
  <w:num w:numId="5">
    <w:abstractNumId w:val="18"/>
  </w:num>
  <w:num w:numId="6">
    <w:abstractNumId w:val="20"/>
  </w:num>
  <w:num w:numId="7">
    <w:abstractNumId w:val="2"/>
  </w:num>
  <w:num w:numId="8">
    <w:abstractNumId w:val="22"/>
  </w:num>
  <w:num w:numId="9">
    <w:abstractNumId w:val="7"/>
  </w:num>
  <w:num w:numId="10">
    <w:abstractNumId w:val="4"/>
  </w:num>
  <w:num w:numId="11">
    <w:abstractNumId w:val="23"/>
  </w:num>
  <w:num w:numId="12">
    <w:abstractNumId w:val="10"/>
  </w:num>
  <w:num w:numId="13">
    <w:abstractNumId w:val="5"/>
  </w:num>
  <w:num w:numId="14">
    <w:abstractNumId w:val="12"/>
  </w:num>
  <w:num w:numId="15">
    <w:abstractNumId w:val="9"/>
  </w:num>
  <w:num w:numId="16">
    <w:abstractNumId w:val="11"/>
  </w:num>
  <w:num w:numId="17">
    <w:abstractNumId w:val="0"/>
  </w:num>
  <w:num w:numId="18">
    <w:abstractNumId w:val="21"/>
  </w:num>
  <w:num w:numId="19">
    <w:abstractNumId w:val="8"/>
  </w:num>
  <w:num w:numId="20">
    <w:abstractNumId w:val="17"/>
  </w:num>
  <w:num w:numId="21">
    <w:abstractNumId w:val="15"/>
  </w:num>
  <w:num w:numId="22">
    <w:abstractNumId w:val="16"/>
  </w:num>
  <w:num w:numId="23">
    <w:abstractNumId w:val="6"/>
  </w:num>
  <w:num w:numId="24">
    <w:abstractNumId w:val="13"/>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36"/>
    <w:rsid w:val="00433436"/>
    <w:rsid w:val="00715EEE"/>
    <w:rsid w:val="008753B9"/>
    <w:rsid w:val="00B47D4A"/>
    <w:rsid w:val="00F112A7"/>
    <w:rsid w:val="00F2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F0E1-BAC2-44D0-9A6B-F7AF5AD1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468317">
      <w:bodyDiv w:val="1"/>
      <w:marLeft w:val="0"/>
      <w:marRight w:val="0"/>
      <w:marTop w:val="0"/>
      <w:marBottom w:val="0"/>
      <w:divBdr>
        <w:top w:val="none" w:sz="0" w:space="0" w:color="auto"/>
        <w:left w:val="none" w:sz="0" w:space="0" w:color="auto"/>
        <w:bottom w:val="none" w:sz="0" w:space="0" w:color="auto"/>
        <w:right w:val="none" w:sz="0" w:space="0" w:color="auto"/>
      </w:divBdr>
    </w:div>
    <w:div w:id="13373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4094</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2021-04-19T07:03:00Z</dcterms:created>
  <dcterms:modified xsi:type="dcterms:W3CDTF">2021-04-19T07:39:00Z</dcterms:modified>
</cp:coreProperties>
</file>