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У К Р А Ї Н А</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КРИЖАНІВСЬКА</w:t>
      </w:r>
      <w:r w:rsidRPr="007D3A25">
        <w:rPr>
          <w:rFonts w:ascii="Segoe UI" w:eastAsia="Times New Roman" w:hAnsi="Segoe UI" w:cs="Segoe UI"/>
          <w:b/>
          <w:bCs/>
          <w:color w:val="555555"/>
          <w:sz w:val="24"/>
          <w:szCs w:val="24"/>
        </w:rPr>
        <w:t>  </w:t>
      </w:r>
      <w:r w:rsidRPr="007D3A25">
        <w:rPr>
          <w:rFonts w:ascii="Segoe UI" w:eastAsia="Times New Roman" w:hAnsi="Segoe UI" w:cs="Segoe UI"/>
          <w:b/>
          <w:bCs/>
          <w:color w:val="555555"/>
          <w:sz w:val="24"/>
          <w:szCs w:val="24"/>
          <w:lang w:val="ru-RU"/>
        </w:rPr>
        <w:t xml:space="preserve"> СІЛЬСЬКА</w:t>
      </w:r>
      <w:r w:rsidRPr="007D3A25">
        <w:rPr>
          <w:rFonts w:ascii="Segoe UI" w:eastAsia="Times New Roman" w:hAnsi="Segoe UI" w:cs="Segoe UI"/>
          <w:b/>
          <w:bCs/>
          <w:color w:val="555555"/>
          <w:sz w:val="24"/>
          <w:szCs w:val="24"/>
        </w:rPr>
        <w:t>  </w:t>
      </w:r>
      <w:r w:rsidRPr="007D3A25">
        <w:rPr>
          <w:rFonts w:ascii="Segoe UI" w:eastAsia="Times New Roman" w:hAnsi="Segoe UI" w:cs="Segoe UI"/>
          <w:b/>
          <w:bCs/>
          <w:color w:val="555555"/>
          <w:sz w:val="24"/>
          <w:szCs w:val="24"/>
          <w:lang w:val="ru-RU"/>
        </w:rPr>
        <w:t xml:space="preserve"> РАДА</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Проект рішення </w:t>
      </w:r>
      <w:r w:rsidRPr="007D3A25">
        <w:rPr>
          <w:rFonts w:ascii="Segoe UI" w:eastAsia="Times New Roman" w:hAnsi="Segoe UI" w:cs="Segoe UI"/>
          <w:color w:val="555555"/>
          <w:sz w:val="24"/>
          <w:szCs w:val="24"/>
        </w:rPr>
        <w:t>XLI</w:t>
      </w:r>
      <w:r w:rsidRPr="007D3A25">
        <w:rPr>
          <w:rFonts w:ascii="Segoe UI" w:eastAsia="Times New Roman" w:hAnsi="Segoe UI" w:cs="Segoe UI"/>
          <w:color w:val="555555"/>
          <w:sz w:val="24"/>
          <w:szCs w:val="24"/>
          <w:lang w:val="ru-RU"/>
        </w:rPr>
        <w:t xml:space="preserve"> сесії Крижанівської сільської ради </w:t>
      </w:r>
      <w:r w:rsidRPr="007D3A25">
        <w:rPr>
          <w:rFonts w:ascii="Segoe UI" w:eastAsia="Times New Roman" w:hAnsi="Segoe UI" w:cs="Segoe UI"/>
          <w:color w:val="555555"/>
          <w:sz w:val="24"/>
          <w:szCs w:val="24"/>
        </w:rPr>
        <w:t>VII</w:t>
      </w:r>
      <w:r w:rsidRPr="007D3A25">
        <w:rPr>
          <w:rFonts w:ascii="Segoe UI" w:eastAsia="Times New Roman" w:hAnsi="Segoe UI" w:cs="Segoe UI"/>
          <w:color w:val="555555"/>
          <w:sz w:val="24"/>
          <w:szCs w:val="24"/>
          <w:lang w:val="ru-RU"/>
        </w:rPr>
        <w:t xml:space="preserve"> скликання</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Автор: депутат Спельнік С.В.</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Про встановлення ставок єдиного податку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 xml:space="preserve">для суб’єктів </w:t>
      </w:r>
      <w:proofErr w:type="gramStart"/>
      <w:r w:rsidRPr="007D3A25">
        <w:rPr>
          <w:rFonts w:ascii="Segoe UI" w:eastAsia="Times New Roman" w:hAnsi="Segoe UI" w:cs="Segoe UI"/>
          <w:b/>
          <w:bCs/>
          <w:color w:val="555555"/>
          <w:sz w:val="24"/>
          <w:szCs w:val="24"/>
          <w:lang w:val="ru-RU"/>
        </w:rPr>
        <w:t>господарювання</w:t>
      </w:r>
      <w:r w:rsidRPr="007D3A25">
        <w:rPr>
          <w:rFonts w:ascii="Segoe UI" w:eastAsia="Times New Roman" w:hAnsi="Segoe UI" w:cs="Segoe UI"/>
          <w:b/>
          <w:bCs/>
          <w:color w:val="555555"/>
          <w:sz w:val="24"/>
          <w:szCs w:val="24"/>
        </w:rPr>
        <w:t> </w:t>
      </w:r>
      <w:r w:rsidRPr="007D3A25">
        <w:rPr>
          <w:rFonts w:ascii="Segoe UI" w:eastAsia="Times New Roman" w:hAnsi="Segoe UI" w:cs="Segoe UI"/>
          <w:b/>
          <w:bCs/>
          <w:color w:val="555555"/>
          <w:sz w:val="24"/>
          <w:szCs w:val="24"/>
          <w:lang w:val="ru-RU"/>
        </w:rPr>
        <w:t xml:space="preserve"> юридичних</w:t>
      </w:r>
      <w:proofErr w:type="gramEnd"/>
      <w:r w:rsidRPr="007D3A25">
        <w:rPr>
          <w:rFonts w:ascii="Segoe UI" w:eastAsia="Times New Roman" w:hAnsi="Segoe UI" w:cs="Segoe UI"/>
          <w:b/>
          <w:bCs/>
          <w:color w:val="555555"/>
          <w:sz w:val="24"/>
          <w:szCs w:val="24"/>
          <w:lang w:val="ru-RU"/>
        </w:rPr>
        <w:t xml:space="preserve"> осіб</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та фізичних осіб підприємців на території Крижанівської сільської ради</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Відповідно до статті 69 Бюджетного кодексу України, керуючись пунктом 24 частини першої статті 26, статей 59, 63, 69</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Закону України «Про місцеве самоврядування в Україні», статей 10, 291, 293, 294 та 295 Податкового кодексу України, приймаючи до уваги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№909-</w:t>
      </w:r>
      <w:r w:rsidRPr="007D3A25">
        <w:rPr>
          <w:rFonts w:ascii="Segoe UI" w:eastAsia="Times New Roman" w:hAnsi="Segoe UI" w:cs="Segoe UI"/>
          <w:color w:val="555555"/>
          <w:sz w:val="24"/>
          <w:szCs w:val="24"/>
        </w:rPr>
        <w:t>VIII</w:t>
      </w:r>
      <w:r w:rsidRPr="007D3A25">
        <w:rPr>
          <w:rFonts w:ascii="Segoe UI" w:eastAsia="Times New Roman" w:hAnsi="Segoe UI" w:cs="Segoe UI"/>
          <w:color w:val="555555"/>
          <w:sz w:val="24"/>
          <w:szCs w:val="24"/>
          <w:lang w:val="ru-RU"/>
        </w:rPr>
        <w:t xml:space="preserve"> від 24.12.2015 року, 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 1791-</w:t>
      </w:r>
      <w:r w:rsidRPr="007D3A25">
        <w:rPr>
          <w:rFonts w:ascii="Segoe UI" w:eastAsia="Times New Roman" w:hAnsi="Segoe UI" w:cs="Segoe UI"/>
          <w:color w:val="555555"/>
          <w:sz w:val="24"/>
          <w:szCs w:val="24"/>
        </w:rPr>
        <w:t>VIII</w:t>
      </w:r>
      <w:r w:rsidRPr="007D3A25">
        <w:rPr>
          <w:rFonts w:ascii="Segoe UI" w:eastAsia="Times New Roman" w:hAnsi="Segoe UI" w:cs="Segoe UI"/>
          <w:color w:val="555555"/>
          <w:sz w:val="24"/>
          <w:szCs w:val="24"/>
          <w:lang w:val="ru-RU"/>
        </w:rPr>
        <w:t xml:space="preserve"> від 20 грудня 2016 року, 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№2245-19 від 07.12.2017, з метою поповнення доходної частини бюджету, Крижанівська сільська рада</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ВИРІШИЛА:</w:t>
      </w:r>
    </w:p>
    <w:p w:rsidR="007D3A25" w:rsidRPr="007D3A25" w:rsidRDefault="007D3A25" w:rsidP="007D3A25">
      <w:pPr>
        <w:numPr>
          <w:ilvl w:val="0"/>
          <w:numId w:val="1"/>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color w:val="555555"/>
          <w:sz w:val="21"/>
          <w:szCs w:val="21"/>
        </w:rPr>
        <w:t>Встановити ставку єдиного податку для суб’єктів господарювання (юридичних осіб чи фізичних осіб – підприємців), які застосовують спрощену систему оподаткування, обліку та звітності в розмірі:</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1.1. Для першої групи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  в розмірі 10 % прожиткового мінімуму;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 xml:space="preserve">1.2. Для другої групи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w:t>
      </w:r>
      <w:r w:rsidRPr="007D3A25">
        <w:rPr>
          <w:rFonts w:ascii="Segoe UI" w:eastAsia="Times New Roman" w:hAnsi="Segoe UI" w:cs="Segoe UI"/>
          <w:color w:val="555555"/>
          <w:sz w:val="24"/>
          <w:szCs w:val="24"/>
        </w:rPr>
        <w:lastRenderedPageBreak/>
        <w:t>таких критеріїв: не використовують працю найманих осіб або кількість осіб, які перебувають з ними у трудових відносинах, одночасно не перевищує 10 осіб; обсяг доходу не перевищує 1500000 гривень:</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в розмірі 10 % мінімальної заробітної плати.</w:t>
      </w:r>
    </w:p>
    <w:p w:rsidR="007D3A25" w:rsidRPr="007D3A25" w:rsidRDefault="007D3A25" w:rsidP="007D3A25">
      <w:pPr>
        <w:numPr>
          <w:ilvl w:val="0"/>
          <w:numId w:val="2"/>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Зміна розміру ставки єдиного податку, об’єкта оподаткування проводиться лише внесенням змін до цього рішення в разі прийняття змін до Податкового кодексу України.</w:t>
      </w:r>
    </w:p>
    <w:p w:rsidR="007D3A25" w:rsidRPr="007D3A25" w:rsidRDefault="007D3A25" w:rsidP="007D3A25">
      <w:pPr>
        <w:numPr>
          <w:ilvl w:val="0"/>
          <w:numId w:val="2"/>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Податковим (звітним) періодом для платників єдиного податку першої, другої груп є календарний рік.</w:t>
      </w:r>
    </w:p>
    <w:p w:rsidR="007D3A25" w:rsidRPr="007D3A25" w:rsidRDefault="007D3A25" w:rsidP="007D3A25">
      <w:pPr>
        <w:numPr>
          <w:ilvl w:val="0"/>
          <w:numId w:val="2"/>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Вважати таким, що втратило чинність рішення Крижанівської сільської ради «Про встановлення ставок єдиного податку для суб’єктів господарювання юридичних осіб та фізичних осіб підприємців на території Крижанівської сільської ради» № 637-УІІ від 18 квітня 2018 року.</w:t>
      </w:r>
    </w:p>
    <w:p w:rsidR="007D3A25" w:rsidRPr="007D3A25" w:rsidRDefault="007D3A25" w:rsidP="007D3A25">
      <w:pPr>
        <w:numPr>
          <w:ilvl w:val="0"/>
          <w:numId w:val="2"/>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Секретарю сільської ради довести це рішення до відома Южненського управління ГУ ДФС в Одеській області та оприлюднити.</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6. Це рішення набирає законної сили з моменту його оприлюднення але не раніше 01.01.2020 року.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7D3A25" w:rsidRPr="007D3A25" w:rsidRDefault="007D3A25" w:rsidP="007D3A25">
      <w:pPr>
        <w:numPr>
          <w:ilvl w:val="0"/>
          <w:numId w:val="3"/>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Контроль за виконанням цього рішення покласти на постійну комісію з питань прав людини, регламенту, депутатської діяльності, етики, законності та регуляторної політики (Спельнік С.В.)</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Аналіз регуляторного впливу на проект рішення</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 xml:space="preserve">Про встановлення ставок єдиного податку для суб’єктів </w:t>
      </w:r>
      <w:proofErr w:type="gramStart"/>
      <w:r w:rsidRPr="007D3A25">
        <w:rPr>
          <w:rFonts w:ascii="Segoe UI" w:eastAsia="Times New Roman" w:hAnsi="Segoe UI" w:cs="Segoe UI"/>
          <w:b/>
          <w:bCs/>
          <w:color w:val="555555"/>
          <w:sz w:val="24"/>
          <w:szCs w:val="24"/>
          <w:lang w:val="ru-RU"/>
        </w:rPr>
        <w:t>господарювання</w:t>
      </w:r>
      <w:r w:rsidRPr="007D3A25">
        <w:rPr>
          <w:rFonts w:ascii="Segoe UI" w:eastAsia="Times New Roman" w:hAnsi="Segoe UI" w:cs="Segoe UI"/>
          <w:b/>
          <w:bCs/>
          <w:color w:val="555555"/>
          <w:sz w:val="24"/>
          <w:szCs w:val="24"/>
        </w:rPr>
        <w:t> </w:t>
      </w:r>
      <w:r w:rsidRPr="007D3A25">
        <w:rPr>
          <w:rFonts w:ascii="Segoe UI" w:eastAsia="Times New Roman" w:hAnsi="Segoe UI" w:cs="Segoe UI"/>
          <w:b/>
          <w:bCs/>
          <w:color w:val="555555"/>
          <w:sz w:val="24"/>
          <w:szCs w:val="24"/>
          <w:lang w:val="ru-RU"/>
        </w:rPr>
        <w:t xml:space="preserve"> юридичних</w:t>
      </w:r>
      <w:proofErr w:type="gramEnd"/>
      <w:r w:rsidRPr="007D3A25">
        <w:rPr>
          <w:rFonts w:ascii="Segoe UI" w:eastAsia="Times New Roman" w:hAnsi="Segoe UI" w:cs="Segoe UI"/>
          <w:b/>
          <w:bCs/>
          <w:color w:val="555555"/>
          <w:sz w:val="24"/>
          <w:szCs w:val="24"/>
          <w:lang w:val="ru-RU"/>
        </w:rPr>
        <w:t xml:space="preserve"> осіб та фізичних осіб підприємців на території</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Крижанівської сільської ради</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I</w:t>
      </w:r>
      <w:r w:rsidRPr="007D3A25">
        <w:rPr>
          <w:rFonts w:ascii="Segoe UI" w:eastAsia="Times New Roman" w:hAnsi="Segoe UI" w:cs="Segoe UI"/>
          <w:color w:val="555555"/>
          <w:sz w:val="24"/>
          <w:szCs w:val="24"/>
          <w:lang w:val="ru-RU"/>
        </w:rPr>
        <w:t>. Визначення проблеми</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Враховуючи вимоги статті 12.3.4. Податкового кодексу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Часті зміни податкового законодавства вимагають щорічного прийняття регуляторних актів із встановлення місцевих податків.</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Необхідність встановлення ставок єдиного податку зумовлена потребою </w:t>
      </w:r>
      <w:proofErr w:type="gramStart"/>
      <w:r w:rsidRPr="007D3A25">
        <w:rPr>
          <w:rFonts w:ascii="Segoe UI" w:eastAsia="Times New Roman" w:hAnsi="Segoe UI" w:cs="Segoe UI"/>
          <w:color w:val="555555"/>
          <w:sz w:val="24"/>
          <w:szCs w:val="24"/>
          <w:lang w:val="ru-RU"/>
        </w:rPr>
        <w:t>приведення</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процедури</w:t>
      </w:r>
      <w:proofErr w:type="gramEnd"/>
      <w:r w:rsidRPr="007D3A25">
        <w:rPr>
          <w:rFonts w:ascii="Segoe UI" w:eastAsia="Times New Roman" w:hAnsi="Segoe UI" w:cs="Segoe UI"/>
          <w:color w:val="555555"/>
          <w:sz w:val="24"/>
          <w:szCs w:val="24"/>
          <w:lang w:val="ru-RU"/>
        </w:rPr>
        <w:t xml:space="preserve"> прийняття регуляторного акту вимогам діючого </w:t>
      </w:r>
      <w:r w:rsidRPr="007D3A25">
        <w:rPr>
          <w:rFonts w:ascii="Segoe UI" w:eastAsia="Times New Roman" w:hAnsi="Segoe UI" w:cs="Segoe UI"/>
          <w:color w:val="555555"/>
          <w:sz w:val="24"/>
          <w:szCs w:val="24"/>
          <w:lang w:val="ru-RU"/>
        </w:rPr>
        <w:lastRenderedPageBreak/>
        <w:t>законодавства. В зв’язку із внесенням змін до Податкового кодексу встановлено групи платників єдиного податку та відповідні ставки.</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За даними звітів бухгалтерії Крижанівської сільської ради про виконання дохідної частини бюджету, платники єдиного податку І–ІІ груп, для яких ставки регулюються за рішенням сільської ради, сплатили до місцевого </w:t>
      </w:r>
      <w:proofErr w:type="gramStart"/>
      <w:r w:rsidRPr="007D3A25">
        <w:rPr>
          <w:rFonts w:ascii="Segoe UI" w:eastAsia="Times New Roman" w:hAnsi="Segoe UI" w:cs="Segoe UI"/>
          <w:color w:val="555555"/>
          <w:sz w:val="24"/>
          <w:szCs w:val="24"/>
          <w:lang w:val="ru-RU"/>
        </w:rPr>
        <w:t>бюджету</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5317537</w:t>
      </w:r>
      <w:proofErr w:type="gramEnd"/>
      <w:r w:rsidRPr="007D3A25">
        <w:rPr>
          <w:rFonts w:ascii="Segoe UI" w:eastAsia="Times New Roman" w:hAnsi="Segoe UI" w:cs="Segoe UI"/>
          <w:color w:val="555555"/>
          <w:sz w:val="24"/>
          <w:szCs w:val="24"/>
          <w:lang w:val="ru-RU"/>
        </w:rPr>
        <w:t xml:space="preserve"> грн. за 2018 рік.</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353"/>
        <w:gridCol w:w="2805"/>
        <w:gridCol w:w="2515"/>
      </w:tblGrid>
      <w:tr w:rsidR="007D3A25" w:rsidRPr="007D3A25" w:rsidTr="007D3A25">
        <w:tc>
          <w:tcPr>
            <w:tcW w:w="22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Групи (підгрупи)</w:t>
            </w:r>
          </w:p>
        </w:tc>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Так</w:t>
            </w:r>
          </w:p>
        </w:tc>
        <w:tc>
          <w:tcPr>
            <w:tcW w:w="13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Ні</w:t>
            </w:r>
          </w:p>
        </w:tc>
      </w:tr>
      <w:tr w:rsidR="007D3A25" w:rsidRPr="007D3A25" w:rsidTr="007D3A25">
        <w:tc>
          <w:tcPr>
            <w:tcW w:w="22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Громадяни</w:t>
            </w:r>
          </w:p>
        </w:tc>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V</w:t>
            </w:r>
          </w:p>
        </w:tc>
        <w:tc>
          <w:tcPr>
            <w:tcW w:w="13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p>
        </w:tc>
      </w:tr>
      <w:tr w:rsidR="007D3A25" w:rsidRPr="007D3A25" w:rsidTr="007D3A25">
        <w:tc>
          <w:tcPr>
            <w:tcW w:w="22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Держава</w:t>
            </w:r>
          </w:p>
        </w:tc>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V</w:t>
            </w:r>
          </w:p>
        </w:tc>
        <w:tc>
          <w:tcPr>
            <w:tcW w:w="13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p>
        </w:tc>
      </w:tr>
      <w:tr w:rsidR="007D3A25" w:rsidRPr="007D3A25" w:rsidTr="007D3A25">
        <w:tc>
          <w:tcPr>
            <w:tcW w:w="22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Суб’єкти господарювання,</w:t>
            </w:r>
          </w:p>
        </w:tc>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V</w:t>
            </w:r>
          </w:p>
        </w:tc>
        <w:tc>
          <w:tcPr>
            <w:tcW w:w="13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p>
        </w:tc>
      </w:tr>
      <w:tr w:rsidR="007D3A25" w:rsidRPr="007D3A25" w:rsidTr="007D3A25">
        <w:tc>
          <w:tcPr>
            <w:tcW w:w="22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у тому числі суб’єкти малого підприємництва*</w:t>
            </w:r>
          </w:p>
        </w:tc>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V</w:t>
            </w:r>
          </w:p>
        </w:tc>
        <w:tc>
          <w:tcPr>
            <w:tcW w:w="13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p>
        </w:tc>
      </w:tr>
    </w:tbl>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Відповідно до чинного законодавства повноваження щодо встановлення місцевих податків є виключною компетенцією органів місцевого самоврядування. Застосування регуляторної процедури не має альтернативи, проблема встановлення єдиного податку не може бути розв’язана за допомогою ринкових механізмів.</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Для встановлення єдиного податку з 01.01.2020 року з урахуванням змін статей 10, 291,293,294 та 296 Податкового Кодексу необхідно провести регуляторну процедуру.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II</w:t>
      </w:r>
      <w:r w:rsidRPr="007D3A25">
        <w:rPr>
          <w:rFonts w:ascii="Segoe UI" w:eastAsia="Times New Roman" w:hAnsi="Segoe UI" w:cs="Segoe UI"/>
          <w:color w:val="555555"/>
          <w:sz w:val="24"/>
          <w:szCs w:val="24"/>
          <w:lang w:val="ru-RU"/>
        </w:rPr>
        <w:t>. Цілі державного регулювання</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Проект рішення розроблено з ціллю:</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Виконання вимог чинного законодавства.</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Врегулювання правовідносин між Крижанівської сільської радою та суб’єктами господарювання в процесі нарахування та сплати єдиного податку.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Встановлення ставок єдиного податку, які б дозволили забезпечити сталі надходження до сільського бюджету для виконання програм соціально – економічного розвитку села.</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III</w:t>
      </w:r>
      <w:r w:rsidRPr="007D3A25">
        <w:rPr>
          <w:rFonts w:ascii="Segoe UI" w:eastAsia="Times New Roman" w:hAnsi="Segoe UI" w:cs="Segoe UI"/>
          <w:color w:val="555555"/>
          <w:sz w:val="24"/>
          <w:szCs w:val="24"/>
          <w:lang w:val="ru-RU"/>
        </w:rPr>
        <w:t>. Визначення та оцінка альтернативних способів досягнення цілей</w:t>
      </w:r>
    </w:p>
    <w:p w:rsidR="007D3A25" w:rsidRPr="007D3A25" w:rsidRDefault="007D3A25" w:rsidP="007D3A25">
      <w:pPr>
        <w:numPr>
          <w:ilvl w:val="0"/>
          <w:numId w:val="4"/>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color w:val="555555"/>
          <w:sz w:val="21"/>
          <w:szCs w:val="21"/>
        </w:rPr>
        <w:lastRenderedPageBreak/>
        <w:t>Визначення альтернативних способів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554"/>
        <w:gridCol w:w="6119"/>
      </w:tblGrid>
      <w:tr w:rsidR="007D3A25" w:rsidRPr="007D3A25" w:rsidTr="007D3A25">
        <w:tc>
          <w:tcPr>
            <w:tcW w:w="18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Вид альтернативи</w:t>
            </w:r>
          </w:p>
        </w:tc>
        <w:tc>
          <w:tcPr>
            <w:tcW w:w="3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Опис альтернативи</w:t>
            </w:r>
          </w:p>
        </w:tc>
      </w:tr>
      <w:tr w:rsidR="007D3A25" w:rsidRPr="00CC22DD" w:rsidTr="007D3A25">
        <w:tc>
          <w:tcPr>
            <w:tcW w:w="18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Не прийняття регуляторного акту (залишення існуючої на даний момент ситуації без змін)</w:t>
            </w:r>
          </w:p>
        </w:tc>
        <w:tc>
          <w:tcPr>
            <w:tcW w:w="3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По закінченню 2019 року діюче на території Крижанівської сільської ради рішення про встановлення єдиного податку має бути скасовано як таке, що не пройшло регуляторну процедуру і не поширюється на подальші періоди. Суб’єкти господарювання залишаться без нормативного акту.Відповідно до підпункту 12.3.5 пункту 12.3 статті 12 Податкового кодексу України</w:t>
            </w:r>
            <w:r w:rsidRPr="007D3A25">
              <w:rPr>
                <w:rFonts w:ascii="Segoe UI" w:eastAsia="Times New Roman" w:hAnsi="Segoe UI" w:cs="Segoe UI"/>
                <w:color w:val="555555"/>
                <w:sz w:val="20"/>
                <w:szCs w:val="20"/>
              </w:rPr>
              <w:t> </w:t>
            </w:r>
            <w:r w:rsidRPr="007D3A25">
              <w:rPr>
                <w:rFonts w:ascii="Segoe UI" w:eastAsia="Times New Roman" w:hAnsi="Segoe UI" w:cs="Segoe UI"/>
                <w:color w:val="555555"/>
                <w:sz w:val="20"/>
                <w:szCs w:val="20"/>
                <w:lang w:val="ru-RU"/>
              </w:rPr>
              <w:t xml:space="preserve"> єдиний податок буде справлятись виходячи з норм Кодексу із застосуванням мінімальних ставок податку для суб’єктів господарювання, які будуть дорівнювати одному відсотку, що суттєво погіршить надходження до місцевого бюджету у 2020 році.</w:t>
            </w:r>
          </w:p>
        </w:tc>
      </w:tr>
      <w:tr w:rsidR="007D3A25" w:rsidRPr="00CC22DD" w:rsidTr="007D3A25">
        <w:tc>
          <w:tcPr>
            <w:tcW w:w="18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 xml:space="preserve">Прийняття регуляторного акту відповідно до Податкового кодексу України з діючими у 2019 році </w:t>
            </w:r>
            <w:r w:rsidRPr="007D3A25">
              <w:rPr>
                <w:rFonts w:ascii="Segoe UI" w:eastAsia="Times New Roman" w:hAnsi="Segoe UI" w:cs="Segoe UI"/>
                <w:color w:val="555555"/>
                <w:sz w:val="20"/>
                <w:szCs w:val="20"/>
              </w:rPr>
              <w:t> </w:t>
            </w:r>
            <w:r w:rsidRPr="007D3A25">
              <w:rPr>
                <w:rFonts w:ascii="Segoe UI" w:eastAsia="Times New Roman" w:hAnsi="Segoe UI" w:cs="Segoe UI"/>
                <w:color w:val="555555"/>
                <w:sz w:val="20"/>
                <w:szCs w:val="20"/>
                <w:lang w:val="ru-RU"/>
              </w:rPr>
              <w:t>ставками для платників єдиного податку І-ІІ груп</w:t>
            </w:r>
          </w:p>
        </w:tc>
        <w:tc>
          <w:tcPr>
            <w:tcW w:w="3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Забезпечення досягнення цілей державного регулювання.Сталі надходження до сільського бюджету без погіршення умов для розвитку мікробізнесу.Належне фінансування програм соціально-економічного розвитку села.</w:t>
            </w:r>
          </w:p>
        </w:tc>
      </w:tr>
    </w:tbl>
    <w:p w:rsidR="007D3A25" w:rsidRPr="007D3A25" w:rsidRDefault="007D3A25" w:rsidP="007D3A25">
      <w:pPr>
        <w:numPr>
          <w:ilvl w:val="0"/>
          <w:numId w:val="5"/>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Оцінка вибраних альтернативних способів досягнення цілей</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Опис вигоди та витрат за кожною альтернативою для сфер інтересів держави, громадян та суб’єктів господарювання.</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Оцінка впливу на сферу інтересів держави</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tbl>
      <w:tblPr>
        <w:tblW w:w="5100" w:type="pct"/>
        <w:shd w:val="clear" w:color="auto" w:fill="FFFFFF"/>
        <w:tblCellMar>
          <w:top w:w="15" w:type="dxa"/>
          <w:left w:w="15" w:type="dxa"/>
          <w:bottom w:w="15" w:type="dxa"/>
          <w:right w:w="15" w:type="dxa"/>
        </w:tblCellMar>
        <w:tblLook w:val="04A0" w:firstRow="1" w:lastRow="0" w:firstColumn="1" w:lastColumn="0" w:noHBand="0" w:noVBand="1"/>
      </w:tblPr>
      <w:tblGrid>
        <w:gridCol w:w="3322"/>
        <w:gridCol w:w="3221"/>
        <w:gridCol w:w="3323"/>
      </w:tblGrid>
      <w:tr w:rsidR="007D3A25" w:rsidRPr="007D3A25" w:rsidTr="007D3A25">
        <w:tc>
          <w:tcPr>
            <w:tcW w:w="16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Вид альтернативи</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Вигоди</w:t>
            </w:r>
          </w:p>
        </w:tc>
        <w:tc>
          <w:tcPr>
            <w:tcW w:w="16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Витрати</w:t>
            </w:r>
          </w:p>
        </w:tc>
      </w:tr>
      <w:tr w:rsidR="007D3A25" w:rsidRPr="007D3A25" w:rsidTr="007D3A25">
        <w:tc>
          <w:tcPr>
            <w:tcW w:w="16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Не прийняття регуляторного акту (залишення існуючої на даний момент ситуації без змін)</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Відсутні</w:t>
            </w:r>
          </w:p>
        </w:tc>
        <w:tc>
          <w:tcPr>
            <w:tcW w:w="16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 xml:space="preserve">По закінченню 2019 року рішення про встановлення єдиного податку має бути скасовано як таке, що не пройшло регуляторну процедуру і не поширюється на подальші періоди.Відповідно до підпункту 12.3.5 пункту 12.3 статті 12 Податкового кодексу України  єдиний податок буде справлятись виходячи з норм Кодексу із застосуванням мінімальних ставок податку для </w:t>
            </w:r>
            <w:r w:rsidRPr="007D3A25">
              <w:rPr>
                <w:rFonts w:ascii="Segoe UI" w:eastAsia="Times New Roman" w:hAnsi="Segoe UI" w:cs="Segoe UI"/>
                <w:color w:val="555555"/>
                <w:sz w:val="20"/>
                <w:szCs w:val="20"/>
              </w:rPr>
              <w:lastRenderedPageBreak/>
              <w:t>суб’єктів господарювання, які будуть дорівнювати одному відсотку, що суттєво погіршить надходження до місцевого бюджету у 2020 році.</w:t>
            </w:r>
          </w:p>
        </w:tc>
      </w:tr>
      <w:tr w:rsidR="007D3A25" w:rsidRPr="007D3A25" w:rsidTr="007D3A25">
        <w:tc>
          <w:tcPr>
            <w:tcW w:w="16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lastRenderedPageBreak/>
              <w:t>Прийняття регуляторного акту відповідно до Податкового кодексу України з діючими у 2019 році ставками для платників єдиного податку І-ІІ груп.</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Забезпечує досягнення цілей державного регулювання, сталість надходжень до сільського бюджету без погіршення умов для розвитку мікробізнесу, а також належне фінансування програм соціально-економічного розвитку села.</w:t>
            </w:r>
          </w:p>
        </w:tc>
        <w:tc>
          <w:tcPr>
            <w:tcW w:w="16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Відсутні</w:t>
            </w:r>
          </w:p>
        </w:tc>
      </w:tr>
    </w:tbl>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Оцінка впливу на сферу інтересів громадян</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292"/>
        <w:gridCol w:w="3191"/>
        <w:gridCol w:w="3190"/>
      </w:tblGrid>
      <w:tr w:rsidR="007D3A25" w:rsidRPr="007D3A25" w:rsidTr="007D3A25">
        <w:tc>
          <w:tcPr>
            <w:tcW w:w="16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Вид альтернативи</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Вигоди</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Витрати</w:t>
            </w:r>
          </w:p>
        </w:tc>
      </w:tr>
      <w:tr w:rsidR="007D3A25" w:rsidRPr="007D3A25" w:rsidTr="007D3A25">
        <w:tc>
          <w:tcPr>
            <w:tcW w:w="16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Не прийняття регуляторного акту (залишення існуючої на даний момент ситуації без змін)</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Можливе незначне зменшення споживчих цін</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Відсутні</w:t>
            </w:r>
          </w:p>
        </w:tc>
      </w:tr>
      <w:tr w:rsidR="007D3A25" w:rsidRPr="007D3A25" w:rsidTr="007D3A25">
        <w:tc>
          <w:tcPr>
            <w:tcW w:w="16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 xml:space="preserve">Прийняття регуляторного акту відповідно до Податкового кодексу України з діючими у 2019 році </w:t>
            </w:r>
            <w:r w:rsidRPr="007D3A25">
              <w:rPr>
                <w:rFonts w:ascii="Segoe UI" w:eastAsia="Times New Roman" w:hAnsi="Segoe UI" w:cs="Segoe UI"/>
                <w:color w:val="555555"/>
                <w:sz w:val="20"/>
                <w:szCs w:val="20"/>
              </w:rPr>
              <w:t> </w:t>
            </w:r>
            <w:r w:rsidRPr="007D3A25">
              <w:rPr>
                <w:rFonts w:ascii="Segoe UI" w:eastAsia="Times New Roman" w:hAnsi="Segoe UI" w:cs="Segoe UI"/>
                <w:color w:val="555555"/>
                <w:sz w:val="20"/>
                <w:szCs w:val="20"/>
                <w:lang w:val="ru-RU"/>
              </w:rPr>
              <w:t>ставками для платників єдиного податку І-ІІ груп</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Виділення коштів з сільського бюджету на програми соціально-економічного розвитку села</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Відсутні</w:t>
            </w:r>
          </w:p>
        </w:tc>
      </w:tr>
    </w:tbl>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292"/>
        <w:gridCol w:w="3191"/>
        <w:gridCol w:w="3190"/>
      </w:tblGrid>
      <w:tr w:rsidR="007D3A25" w:rsidRPr="007D3A25" w:rsidTr="007D3A25">
        <w:tc>
          <w:tcPr>
            <w:tcW w:w="16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Вид альтернативи</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Вигоди</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Витрати</w:t>
            </w:r>
          </w:p>
        </w:tc>
      </w:tr>
      <w:tr w:rsidR="007D3A25" w:rsidRPr="00CC22DD" w:rsidTr="007D3A25">
        <w:tc>
          <w:tcPr>
            <w:tcW w:w="16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Не прийняття регуляторного акту (залишення існуючої на даний момент ситуації без змін)</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Суб’єкти господарювання – платники податку у 2020 році будуть сплачувати податок за мінімальними ставками.</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 xml:space="preserve">Суб’єкти господарювання – платники податку у 2020 році будуть сплачувати податок за мінімальними ставками.Витрати на сплату </w:t>
            </w:r>
            <w:r w:rsidRPr="007D3A25">
              <w:rPr>
                <w:rFonts w:ascii="Segoe UI" w:eastAsia="Times New Roman" w:hAnsi="Segoe UI" w:cs="Segoe UI"/>
                <w:color w:val="555555"/>
                <w:sz w:val="20"/>
                <w:szCs w:val="20"/>
                <w:lang w:val="ru-RU"/>
              </w:rPr>
              <w:lastRenderedPageBreak/>
              <w:t>податку зменшається, при цьому конкурентоспроможність не зміниться.</w:t>
            </w:r>
          </w:p>
        </w:tc>
      </w:tr>
      <w:tr w:rsidR="007D3A25" w:rsidRPr="00CC22DD" w:rsidTr="007D3A25">
        <w:tc>
          <w:tcPr>
            <w:tcW w:w="16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lastRenderedPageBreak/>
              <w:t>Прийняття регуляторного акту відповідно до Податкового кодексу України з діючими у 2019 році максимальними ставками для платників єдиного податку І-ІІ груп</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Відсутні</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Суб’єкти господарювання будуть сплачувати податок за ставками згідно рішення Крижанівської сільської ради.</w:t>
            </w:r>
          </w:p>
        </w:tc>
      </w:tr>
    </w:tbl>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711"/>
        <w:gridCol w:w="2962"/>
      </w:tblGrid>
      <w:tr w:rsidR="007D3A25" w:rsidRPr="007D3A25" w:rsidTr="007D3A25">
        <w:tc>
          <w:tcPr>
            <w:tcW w:w="34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Сумарні витрати за альтернативами</w:t>
            </w:r>
          </w:p>
        </w:tc>
        <w:tc>
          <w:tcPr>
            <w:tcW w:w="15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Сума витрат, гривень</w:t>
            </w:r>
          </w:p>
        </w:tc>
      </w:tr>
      <w:tr w:rsidR="007D3A25" w:rsidRPr="007D3A25" w:rsidTr="007D3A25">
        <w:tc>
          <w:tcPr>
            <w:tcW w:w="34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Альтернатива 1 «Не прийняття регуляторного акту (залишення існуючої на даний момент ситуації без змін)»Сумарні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15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w:t>
            </w:r>
          </w:p>
        </w:tc>
      </w:tr>
      <w:tr w:rsidR="007D3A25" w:rsidRPr="007D3A25" w:rsidTr="007D3A25">
        <w:tc>
          <w:tcPr>
            <w:tcW w:w="34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Альтернатива 2 «Прийняття регуляторного акту відповідно до Податкового кодексу України з діючими у 2019 році максимальними ставками для платників єдиного податку І-ІІ груп»Сумарні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15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w:t>
            </w:r>
          </w:p>
        </w:tc>
      </w:tr>
    </w:tbl>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IV</w:t>
      </w:r>
      <w:r w:rsidRPr="007D3A25">
        <w:rPr>
          <w:rFonts w:ascii="Segoe UI" w:eastAsia="Times New Roman" w:hAnsi="Segoe UI" w:cs="Segoe UI"/>
          <w:color w:val="555555"/>
          <w:sz w:val="24"/>
          <w:szCs w:val="24"/>
          <w:lang w:val="ru-RU"/>
        </w:rPr>
        <w:t>. Вибір найбільш оптимального альтернативного способу досягнення цілей</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712"/>
        <w:gridCol w:w="2931"/>
        <w:gridCol w:w="3030"/>
      </w:tblGrid>
      <w:tr w:rsidR="007D3A25" w:rsidRPr="00CC22DD" w:rsidTr="007D3A25">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Рейтинг результативності (досягнення цілей під час вирішення проблеми)</w:t>
            </w:r>
          </w:p>
        </w:tc>
        <w:tc>
          <w:tcPr>
            <w:tcW w:w="15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Бал результативності (за чотирибальною системою оцінки)</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Коментарі щодо присвоєння відповідного балу</w:t>
            </w:r>
          </w:p>
        </w:tc>
      </w:tr>
      <w:tr w:rsidR="007D3A25" w:rsidRPr="00CC22DD" w:rsidTr="007D3A25">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lastRenderedPageBreak/>
              <w:t>Не прийняття регуляторного акту (залишення існуючої на даний момент ситуації без змін)</w:t>
            </w:r>
          </w:p>
        </w:tc>
        <w:tc>
          <w:tcPr>
            <w:tcW w:w="15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1</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 xml:space="preserve">Рішення про встановлення єдиного податку на 2019 рік не буде діяти у 2020 році, що значно зменшить надходження до </w:t>
            </w:r>
            <w:proofErr w:type="gramStart"/>
            <w:r w:rsidRPr="007D3A25">
              <w:rPr>
                <w:rFonts w:ascii="Segoe UI" w:eastAsia="Times New Roman" w:hAnsi="Segoe UI" w:cs="Segoe UI"/>
                <w:color w:val="555555"/>
                <w:sz w:val="20"/>
                <w:szCs w:val="20"/>
                <w:lang w:val="ru-RU"/>
              </w:rPr>
              <w:t>сільського</w:t>
            </w:r>
            <w:r w:rsidRPr="007D3A25">
              <w:rPr>
                <w:rFonts w:ascii="Segoe UI" w:eastAsia="Times New Roman" w:hAnsi="Segoe UI" w:cs="Segoe UI"/>
                <w:color w:val="555555"/>
                <w:sz w:val="20"/>
                <w:szCs w:val="20"/>
              </w:rPr>
              <w:t> </w:t>
            </w:r>
            <w:r w:rsidRPr="007D3A25">
              <w:rPr>
                <w:rFonts w:ascii="Segoe UI" w:eastAsia="Times New Roman" w:hAnsi="Segoe UI" w:cs="Segoe UI"/>
                <w:color w:val="555555"/>
                <w:sz w:val="20"/>
                <w:szCs w:val="20"/>
                <w:lang w:val="ru-RU"/>
              </w:rPr>
              <w:t xml:space="preserve"> бюджету</w:t>
            </w:r>
            <w:proofErr w:type="gramEnd"/>
            <w:r w:rsidRPr="007D3A25">
              <w:rPr>
                <w:rFonts w:ascii="Segoe UI" w:eastAsia="Times New Roman" w:hAnsi="Segoe UI" w:cs="Segoe UI"/>
                <w:color w:val="555555"/>
                <w:sz w:val="20"/>
                <w:szCs w:val="20"/>
                <w:lang w:val="ru-RU"/>
              </w:rPr>
              <w:t>. Проблема сплати податку в мінімальному розмірі буде існувати до 2021 року.</w:t>
            </w:r>
          </w:p>
        </w:tc>
      </w:tr>
      <w:tr w:rsidR="007D3A25" w:rsidRPr="007D3A25" w:rsidTr="007D3A25">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Прийняття регуляторного акту відповідно до Податкового кодексу України з діючими у 2019 році максимальними ставками для платників єдиного податку І-ІІ груп</w:t>
            </w:r>
          </w:p>
        </w:tc>
        <w:tc>
          <w:tcPr>
            <w:tcW w:w="15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4</w:t>
            </w:r>
          </w:p>
        </w:tc>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 </w:t>
            </w:r>
            <w:r w:rsidRPr="007D3A25">
              <w:rPr>
                <w:rFonts w:ascii="Segoe UI" w:eastAsia="Times New Roman" w:hAnsi="Segoe UI" w:cs="Segoe UI"/>
                <w:color w:val="555555"/>
                <w:sz w:val="20"/>
                <w:szCs w:val="20"/>
                <w:lang w:val="ru-RU"/>
              </w:rPr>
              <w:t xml:space="preserve">Цей регуляторний акт відповідає потребам у розв’язанні визначеної проблеми та принципам державної регуляторної політики. </w:t>
            </w:r>
            <w:r w:rsidRPr="007D3A25">
              <w:rPr>
                <w:rFonts w:ascii="Segoe UI" w:eastAsia="Times New Roman" w:hAnsi="Segoe UI" w:cs="Segoe UI"/>
                <w:color w:val="555555"/>
                <w:sz w:val="20"/>
                <w:szCs w:val="20"/>
              </w:rPr>
              <w:t>Затвердження такого регуляторного акту забезпечить поступове досягнення встановлених цілей.</w:t>
            </w:r>
          </w:p>
        </w:tc>
      </w:tr>
    </w:tbl>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58"/>
        <w:gridCol w:w="3328"/>
        <w:gridCol w:w="1850"/>
        <w:gridCol w:w="2637"/>
      </w:tblGrid>
      <w:tr w:rsidR="007D3A25" w:rsidRPr="00CC22DD" w:rsidTr="007D3A25">
        <w:tc>
          <w:tcPr>
            <w:tcW w:w="9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Рейтинг результативності</w:t>
            </w:r>
          </w:p>
        </w:tc>
        <w:tc>
          <w:tcPr>
            <w:tcW w:w="14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Вигоди (підсумок)</w:t>
            </w:r>
          </w:p>
        </w:tc>
        <w:tc>
          <w:tcPr>
            <w:tcW w:w="9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Витрати (підсумок)</w:t>
            </w:r>
          </w:p>
        </w:tc>
        <w:tc>
          <w:tcPr>
            <w:tcW w:w="15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Обґрунтування відповідного місця альтернативи у рейтингу</w:t>
            </w:r>
          </w:p>
        </w:tc>
      </w:tr>
      <w:tr w:rsidR="007D3A25" w:rsidRPr="007D3A25" w:rsidTr="007D3A25">
        <w:tc>
          <w:tcPr>
            <w:tcW w:w="9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Прийняття регуляторного акту відповідно до Податкового кодексу України з діючими у 2019 році максимальними ставками для платників єдиного податку І-ІІ груп</w:t>
            </w:r>
          </w:p>
        </w:tc>
        <w:tc>
          <w:tcPr>
            <w:tcW w:w="14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Належне фінансування програм соціально-економічного розвитку села.</w:t>
            </w:r>
          </w:p>
        </w:tc>
        <w:tc>
          <w:tcPr>
            <w:tcW w:w="9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Суб’єкти господарювання І-ІІ груп будуть сплачувати податок за максимальними ставками згідно рішення Крижанівської сільської ради без погіршення умов для розвитку мікробізнесу.</w:t>
            </w:r>
          </w:p>
        </w:tc>
        <w:tc>
          <w:tcPr>
            <w:tcW w:w="15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lang w:val="ru-RU"/>
              </w:rPr>
              <w:t xml:space="preserve">Цей регуляторний акт відповідає потребам у розв’язанні визначеної проблеми та принципам державної регуляторної політики. </w:t>
            </w:r>
            <w:r w:rsidRPr="007D3A25">
              <w:rPr>
                <w:rFonts w:ascii="Segoe UI" w:eastAsia="Times New Roman" w:hAnsi="Segoe UI" w:cs="Segoe UI"/>
                <w:color w:val="555555"/>
                <w:sz w:val="20"/>
                <w:szCs w:val="20"/>
              </w:rPr>
              <w:t>Затвердження такого регуляторного акту забезпечить поступове досягнення встановлених цілей.</w:t>
            </w:r>
          </w:p>
        </w:tc>
      </w:tr>
      <w:tr w:rsidR="007D3A25" w:rsidRPr="00CC22DD" w:rsidTr="007D3A25">
        <w:tc>
          <w:tcPr>
            <w:tcW w:w="9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 xml:space="preserve">Не прийняття регуляторного </w:t>
            </w:r>
            <w:r w:rsidRPr="007D3A25">
              <w:rPr>
                <w:rFonts w:ascii="Segoe UI" w:eastAsia="Times New Roman" w:hAnsi="Segoe UI" w:cs="Segoe UI"/>
                <w:color w:val="555555"/>
                <w:sz w:val="20"/>
                <w:szCs w:val="20"/>
                <w:lang w:val="ru-RU"/>
              </w:rPr>
              <w:lastRenderedPageBreak/>
              <w:t>акту (залишення існуючої на даний момент ситуації без змін)</w:t>
            </w:r>
          </w:p>
        </w:tc>
        <w:tc>
          <w:tcPr>
            <w:tcW w:w="14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lastRenderedPageBreak/>
              <w:t xml:space="preserve">Для держави і громадян вигоди відсутні.Суб’єкти </w:t>
            </w:r>
            <w:r w:rsidRPr="007D3A25">
              <w:rPr>
                <w:rFonts w:ascii="Segoe UI" w:eastAsia="Times New Roman" w:hAnsi="Segoe UI" w:cs="Segoe UI"/>
                <w:color w:val="555555"/>
                <w:sz w:val="20"/>
                <w:szCs w:val="20"/>
                <w:lang w:val="ru-RU"/>
              </w:rPr>
              <w:lastRenderedPageBreak/>
              <w:t>господарювання</w:t>
            </w:r>
            <w:r w:rsidRPr="007D3A25">
              <w:rPr>
                <w:rFonts w:ascii="Segoe UI" w:eastAsia="Times New Roman" w:hAnsi="Segoe UI" w:cs="Segoe UI"/>
                <w:color w:val="555555"/>
                <w:sz w:val="20"/>
                <w:szCs w:val="20"/>
              </w:rPr>
              <w:t>               </w:t>
            </w:r>
            <w:r w:rsidRPr="007D3A25">
              <w:rPr>
                <w:rFonts w:ascii="Segoe UI" w:eastAsia="Times New Roman" w:hAnsi="Segoe UI" w:cs="Segoe UI"/>
                <w:color w:val="555555"/>
                <w:sz w:val="20"/>
                <w:szCs w:val="20"/>
                <w:lang w:val="ru-RU"/>
              </w:rPr>
              <w:t xml:space="preserve"> будуть сплачувати єдиний податок за мінімальними ставками.</w:t>
            </w:r>
          </w:p>
        </w:tc>
        <w:tc>
          <w:tcPr>
            <w:tcW w:w="9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lastRenderedPageBreak/>
              <w:t xml:space="preserve">Суб’єкти господарювання </w:t>
            </w:r>
            <w:r w:rsidRPr="007D3A25">
              <w:rPr>
                <w:rFonts w:ascii="Segoe UI" w:eastAsia="Times New Roman" w:hAnsi="Segoe UI" w:cs="Segoe UI"/>
                <w:color w:val="555555"/>
                <w:sz w:val="20"/>
                <w:szCs w:val="20"/>
                <w:lang w:val="ru-RU"/>
              </w:rPr>
              <w:lastRenderedPageBreak/>
              <w:t>– платники податку у 2019 році будуть сплачувати податок за мінімальними ставками, що суттєво зменшить надходжень у місцевий бюджет.</w:t>
            </w:r>
          </w:p>
        </w:tc>
        <w:tc>
          <w:tcPr>
            <w:tcW w:w="15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lastRenderedPageBreak/>
              <w:t xml:space="preserve">Рішення про встановлення єдиного </w:t>
            </w:r>
            <w:r w:rsidRPr="007D3A25">
              <w:rPr>
                <w:rFonts w:ascii="Segoe UI" w:eastAsia="Times New Roman" w:hAnsi="Segoe UI" w:cs="Segoe UI"/>
                <w:color w:val="555555"/>
                <w:sz w:val="20"/>
                <w:szCs w:val="20"/>
                <w:lang w:val="ru-RU"/>
              </w:rPr>
              <w:lastRenderedPageBreak/>
              <w:t>податку на 2019 рік не буде діяти у 2020 році, що значно зменшить надходження до сільського бюджету. Село не отримає належного фінансування програм соціально-економічного розвитку.</w:t>
            </w:r>
          </w:p>
        </w:tc>
      </w:tr>
    </w:tbl>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lastRenderedPageBreak/>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95"/>
        <w:gridCol w:w="4188"/>
        <w:gridCol w:w="3190"/>
      </w:tblGrid>
      <w:tr w:rsidR="007D3A25" w:rsidRPr="00CC22DD" w:rsidTr="007D3A25">
        <w:tc>
          <w:tcPr>
            <w:tcW w:w="11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Рейтинг</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Аргументи щодо переваги обраної альтернативи / причини відмови від альтернативи</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Оцінка ризику зовнішніх чинників на дію запропонованого регуляторного акту</w:t>
            </w:r>
          </w:p>
        </w:tc>
      </w:tr>
      <w:tr w:rsidR="007D3A25" w:rsidRPr="007D3A25" w:rsidTr="007D3A25">
        <w:tc>
          <w:tcPr>
            <w:tcW w:w="11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Прийняття регуляторного акту відповідно до Податкового кодексу України з діючими у 2019 році максимальними ставками для платників єдиного податку І-ІІ груп</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 </w:t>
            </w:r>
            <w:r w:rsidRPr="007D3A25">
              <w:rPr>
                <w:rFonts w:ascii="Segoe UI" w:eastAsia="Times New Roman" w:hAnsi="Segoe UI" w:cs="Segoe UI"/>
                <w:color w:val="555555"/>
                <w:sz w:val="20"/>
                <w:szCs w:val="20"/>
                <w:lang w:val="ru-RU"/>
              </w:rPr>
              <w:t xml:space="preserve">Цей регуляторний акт відповідає потребам у розв’язанні визначеної проблеми та принципам державної регуляторної політики. </w:t>
            </w:r>
            <w:r w:rsidRPr="007D3A25">
              <w:rPr>
                <w:rFonts w:ascii="Segoe UI" w:eastAsia="Times New Roman" w:hAnsi="Segoe UI" w:cs="Segoe UI"/>
                <w:color w:val="555555"/>
                <w:sz w:val="20"/>
                <w:szCs w:val="20"/>
              </w:rPr>
              <w:t>Затвердження такого регуляторного акту забезпечить поступове досягнення встановлених цілей.</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w:t>
            </w:r>
          </w:p>
        </w:tc>
      </w:tr>
      <w:tr w:rsidR="007D3A25" w:rsidRPr="007D3A25" w:rsidTr="007D3A25">
        <w:tc>
          <w:tcPr>
            <w:tcW w:w="11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Не прийняття регуляторного акту (залишення існуючої на даний момент ситуації без змін)</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Рішення про встановлення єдиного податку на 2019 рік не буде діяти у 2020 році, що значно зменшить надходження до сільського бюджету. Село не отримає належного фінансування програм соціально-економічного розвитку.</w:t>
            </w:r>
          </w:p>
        </w:tc>
        <w:tc>
          <w:tcPr>
            <w:tcW w:w="16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Х</w:t>
            </w:r>
          </w:p>
        </w:tc>
      </w:tr>
    </w:tbl>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V</w:t>
      </w:r>
      <w:r w:rsidRPr="007D3A25">
        <w:rPr>
          <w:rFonts w:ascii="Segoe UI" w:eastAsia="Times New Roman" w:hAnsi="Segoe UI" w:cs="Segoe UI"/>
          <w:color w:val="555555"/>
          <w:sz w:val="24"/>
          <w:szCs w:val="24"/>
          <w:lang w:val="ru-RU"/>
        </w:rPr>
        <w:t>. Механізми та заходи, які забезпечать розв’язання визначеної проблеми</w:t>
      </w:r>
    </w:p>
    <w:p w:rsidR="007D3A25" w:rsidRPr="007D3A25" w:rsidRDefault="007D3A25" w:rsidP="007D3A25">
      <w:pPr>
        <w:numPr>
          <w:ilvl w:val="0"/>
          <w:numId w:val="6"/>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Оприлюднення проекту рішення «Про встановлення ставок єдиного податку для суб’єктів господарювання юридичних осіб та фізичних осіб підприємців на території Крижанівської сільської ради» з метою отримання зауважень та пропозицій.</w:t>
      </w:r>
    </w:p>
    <w:p w:rsidR="007D3A25" w:rsidRPr="007D3A25" w:rsidRDefault="007D3A25" w:rsidP="007D3A25">
      <w:pPr>
        <w:numPr>
          <w:ilvl w:val="0"/>
          <w:numId w:val="6"/>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color w:val="555555"/>
          <w:sz w:val="21"/>
          <w:szCs w:val="21"/>
        </w:rPr>
        <w:t>Встановлення ставок єдиного податку.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lastRenderedPageBreak/>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xml:space="preserve">Згідно з додатком 4 до Методики проведення аналізу впливу регуляторного акту (Тест малого підприємництва) не здійснюється розрахунок витрат, якщо питома вага суб’єктів малого підприємництва (малих та мікропідприємств разом) у загальній кількості суб’єктів господарювання не перевищує 10%. </w:t>
      </w:r>
      <w:r w:rsidRPr="007D3A25">
        <w:rPr>
          <w:rFonts w:ascii="Segoe UI" w:eastAsia="Times New Roman" w:hAnsi="Segoe UI" w:cs="Segoe UI"/>
          <w:color w:val="555555"/>
          <w:sz w:val="24"/>
          <w:szCs w:val="24"/>
          <w:lang w:val="ru-RU"/>
        </w:rPr>
        <w:t>По Крижанівської сільської радою раді питома вага суб’єктів малого підприємництва становить 9%. Додаткових затрат на запровадження державного регулювання для суб’єктів малого підприємництва немає</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VII</w:t>
      </w:r>
      <w:r w:rsidRPr="007D3A25">
        <w:rPr>
          <w:rFonts w:ascii="Segoe UI" w:eastAsia="Times New Roman" w:hAnsi="Segoe UI" w:cs="Segoe UI"/>
          <w:color w:val="555555"/>
          <w:sz w:val="24"/>
          <w:szCs w:val="24"/>
          <w:lang w:val="ru-RU"/>
        </w:rPr>
        <w:t>. Обґрунтування запропонованого строку дії регуляторного акту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На дію цього регуляторного акту негативно можуть вплинути </w:t>
      </w:r>
      <w:proofErr w:type="gramStart"/>
      <w:r w:rsidRPr="007D3A25">
        <w:rPr>
          <w:rFonts w:ascii="Segoe UI" w:eastAsia="Times New Roman" w:hAnsi="Segoe UI" w:cs="Segoe UI"/>
          <w:color w:val="555555"/>
          <w:sz w:val="24"/>
          <w:szCs w:val="24"/>
          <w:lang w:val="ru-RU"/>
        </w:rPr>
        <w:t>економічна</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криза</w:t>
      </w:r>
      <w:proofErr w:type="gramEnd"/>
      <w:r w:rsidRPr="007D3A25">
        <w:rPr>
          <w:rFonts w:ascii="Segoe UI" w:eastAsia="Times New Roman" w:hAnsi="Segoe UI" w:cs="Segoe UI"/>
          <w:color w:val="555555"/>
          <w:sz w:val="24"/>
          <w:szCs w:val="24"/>
          <w:lang w:val="ru-RU"/>
        </w:rPr>
        <w:t>, значні темпи інфляції, різке дорожчання тарифів на енергоносії та продукти харчування при промірному рості мінімальної заробітної плати та прожиткового мінімуму.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Ці фактори впливають на рівень платоспроможності населення та призводять до закриття підприємницької діяльності.</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Позитивно на дію цього регуляторного акту може вплинути економічна стабільність в країні та підвищення темпів росту ВВП. Вихід з «тіні» бізнесу сприятиме збільшенню надходжень до бюджетів усіх рівнів.</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Строк дії акту – до повторного відстеження (проводиться через один рік), з подальшим продовженням чи внесенням відповідних змін.</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VIII</w:t>
      </w:r>
      <w:r w:rsidRPr="007D3A25">
        <w:rPr>
          <w:rFonts w:ascii="Segoe UI" w:eastAsia="Times New Roman" w:hAnsi="Segoe UI" w:cs="Segoe UI"/>
          <w:color w:val="555555"/>
          <w:sz w:val="24"/>
          <w:szCs w:val="24"/>
          <w:lang w:val="ru-RU"/>
        </w:rPr>
        <w:t>. Визначення показників результативності дії регуляторного акту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акту обрано такі прогнозні показники:</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9370"/>
        <w:gridCol w:w="6590"/>
        <w:gridCol w:w="540"/>
      </w:tblGrid>
      <w:tr w:rsidR="007D3A25" w:rsidRPr="007D3A25" w:rsidTr="007D3A25">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Назва показника</w:t>
            </w:r>
          </w:p>
        </w:tc>
        <w:tc>
          <w:tcPr>
            <w:tcW w:w="373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за 2018р.</w:t>
            </w:r>
          </w:p>
        </w:tc>
        <w:tc>
          <w:tcPr>
            <w:tcW w:w="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p>
        </w:tc>
      </w:tr>
      <w:tr w:rsidR="007D3A25" w:rsidRPr="007D3A25" w:rsidTr="007D3A25">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Надходження до місцевого бюджету єдиного податку від всіх груп платників (тис. грн.)</w:t>
            </w:r>
          </w:p>
        </w:tc>
        <w:tc>
          <w:tcPr>
            <w:tcW w:w="373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5317537 грн.</w:t>
            </w:r>
          </w:p>
        </w:tc>
        <w:tc>
          <w:tcPr>
            <w:tcW w:w="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p>
        </w:tc>
      </w:tr>
      <w:tr w:rsidR="007D3A25" w:rsidRPr="007D3A25" w:rsidTr="007D3A25">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Загальна кількість платників єдиного податку, чол.</w:t>
            </w:r>
          </w:p>
        </w:tc>
        <w:tc>
          <w:tcPr>
            <w:tcW w:w="373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453</w:t>
            </w:r>
          </w:p>
        </w:tc>
        <w:tc>
          <w:tcPr>
            <w:tcW w:w="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rPr>
            </w:pPr>
          </w:p>
        </w:tc>
      </w:tr>
      <w:tr w:rsidR="007D3A25" w:rsidRPr="00CC22DD" w:rsidTr="007D3A25">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lastRenderedPageBreak/>
              <w:t>Витрати суб’єктів господарювання на адміністративні процедури щодо виконання регулювання та звітування (тис. грн.)</w:t>
            </w:r>
          </w:p>
        </w:tc>
        <w:tc>
          <w:tcPr>
            <w:tcW w:w="373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p>
        </w:tc>
        <w:tc>
          <w:tcPr>
            <w:tcW w:w="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Times New Roman" w:eastAsia="Times New Roman" w:hAnsi="Times New Roman" w:cs="Times New Roman"/>
                <w:sz w:val="20"/>
                <w:szCs w:val="20"/>
                <w:lang w:val="ru-RU"/>
              </w:rPr>
            </w:pPr>
          </w:p>
        </w:tc>
      </w:tr>
      <w:tr w:rsidR="007D3A25" w:rsidRPr="00CC22DD" w:rsidTr="007D3A25">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Рівень поінформованості суб’єктів господарювання стосовно основних положень регуляторного акту</w:t>
            </w:r>
          </w:p>
        </w:tc>
        <w:tc>
          <w:tcPr>
            <w:tcW w:w="3750" w:type="dxa"/>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D3A25" w:rsidRPr="007D3A25" w:rsidRDefault="007D3A25" w:rsidP="007D3A25">
            <w:pPr>
              <w:spacing w:after="300" w:line="240" w:lineRule="auto"/>
              <w:rPr>
                <w:rFonts w:ascii="Segoe UI" w:eastAsia="Times New Roman" w:hAnsi="Segoe UI" w:cs="Segoe UI"/>
                <w:color w:val="555555"/>
                <w:sz w:val="20"/>
                <w:szCs w:val="20"/>
                <w:lang w:val="ru-RU"/>
              </w:rPr>
            </w:pPr>
          </w:p>
        </w:tc>
      </w:tr>
    </w:tbl>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IX</w:t>
      </w:r>
      <w:r w:rsidRPr="007D3A25">
        <w:rPr>
          <w:rFonts w:ascii="Segoe UI" w:eastAsia="Times New Roman" w:hAnsi="Segoe UI" w:cs="Segoe UI"/>
          <w:color w:val="555555"/>
          <w:sz w:val="24"/>
          <w:szCs w:val="24"/>
          <w:lang w:val="ru-RU"/>
        </w:rPr>
        <w:t>. Визначення заходів, за допомогою яких здійснюватиметься відстеження результативності дії регуляторного акту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Базове відстеження результативності здійснюватиметься до дати набрання чинності цього регуляторного акту. Повторне відстеження результативності планується здійснити через 1 рік після набуття чинності регуляторним актом.</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З огляду на показники результативності, визначені в попередньому розділі аналізу регуляторного впливу, відстеження буде проводитись за допомогою статистичного методу та шляхом опитування.</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proofErr w:type="gramStart"/>
      <w:r w:rsidRPr="007D3A25">
        <w:rPr>
          <w:rFonts w:ascii="Segoe UI" w:eastAsia="Times New Roman" w:hAnsi="Segoe UI" w:cs="Segoe UI"/>
          <w:color w:val="555555"/>
          <w:sz w:val="24"/>
          <w:szCs w:val="24"/>
          <w:lang w:val="ru-RU"/>
        </w:rPr>
        <w:t>У рамках</w:t>
      </w:r>
      <w:proofErr w:type="gramEnd"/>
      <w:r w:rsidRPr="007D3A25">
        <w:rPr>
          <w:rFonts w:ascii="Segoe UI" w:eastAsia="Times New Roman" w:hAnsi="Segoe UI" w:cs="Segoe UI"/>
          <w:color w:val="555555"/>
          <w:sz w:val="24"/>
          <w:szCs w:val="24"/>
          <w:lang w:val="ru-RU"/>
        </w:rPr>
        <w:t xml:space="preserve"> зазначених методів відстеження проведено аналіз звітності про виконання дохідної частини бюджету в частині інформації щодо розміру надходжень до сільського бюджету, кількості осіб, на яких поширюватиметься дія акту, а також розміру коштів і часу, що витрачатимуться суб’єктами господарювання на виконання вимог акту.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i/>
          <w:iCs/>
          <w:color w:val="555555"/>
          <w:sz w:val="24"/>
          <w:szCs w:val="24"/>
          <w:lang w:val="ru-RU"/>
        </w:rPr>
        <w:t>Експертний висновок</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i/>
          <w:iCs/>
          <w:color w:val="555555"/>
          <w:sz w:val="24"/>
          <w:szCs w:val="24"/>
          <w:lang w:val="ru-RU"/>
        </w:rPr>
        <w:t>постійної депутатської комісії з прав людини, регламенту, депутатської діяльності, етики, законності, регуляторної політики та конфлікту інтересів Крижанівської сільської ради Лиманського району Одеської</w:t>
      </w:r>
      <w:r w:rsidRPr="007D3A25">
        <w:rPr>
          <w:rFonts w:ascii="Segoe UI" w:eastAsia="Times New Roman" w:hAnsi="Segoe UI" w:cs="Segoe UI"/>
          <w:b/>
          <w:bCs/>
          <w:i/>
          <w:iCs/>
          <w:color w:val="555555"/>
          <w:sz w:val="24"/>
          <w:szCs w:val="24"/>
        </w:rPr>
        <w:t> </w:t>
      </w:r>
      <w:r w:rsidRPr="007D3A25">
        <w:rPr>
          <w:rFonts w:ascii="Segoe UI" w:eastAsia="Times New Roman" w:hAnsi="Segoe UI" w:cs="Segoe UI"/>
          <w:b/>
          <w:bCs/>
          <w:i/>
          <w:iCs/>
          <w:color w:val="555555"/>
          <w:sz w:val="24"/>
          <w:szCs w:val="24"/>
          <w:lang w:val="ru-RU"/>
        </w:rPr>
        <w:t>«Про встановлення ставок єдиного податку для суб’єктів господарювання юридичних осіб та фізичних осіб підприємців</w:t>
      </w:r>
      <w:r w:rsidRPr="007D3A25">
        <w:rPr>
          <w:rFonts w:ascii="Segoe UI" w:eastAsia="Times New Roman" w:hAnsi="Segoe UI" w:cs="Segoe UI"/>
          <w:b/>
          <w:bCs/>
          <w:i/>
          <w:iCs/>
          <w:color w:val="555555"/>
          <w:sz w:val="24"/>
          <w:szCs w:val="24"/>
        </w:rPr>
        <w:t> </w:t>
      </w:r>
      <w:r w:rsidRPr="007D3A25">
        <w:rPr>
          <w:rFonts w:ascii="Segoe UI" w:eastAsia="Times New Roman" w:hAnsi="Segoe UI" w:cs="Segoe UI"/>
          <w:b/>
          <w:bCs/>
          <w:i/>
          <w:iCs/>
          <w:color w:val="555555"/>
          <w:sz w:val="24"/>
          <w:szCs w:val="24"/>
          <w:lang w:val="ru-RU"/>
        </w:rPr>
        <w:t>на території Крижанівської сільської ради»</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Постійна депутатська комісія </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з прав людини, регламенту, депутатської діяльності, етики, законності, регуляторної політики та конфлікту інтересів Крижанівської сільської ради, на виконання вимог статті 34 Закону України «Про засади державної регуляторної політики у сфері господарської діяльності», розглянула проект рішення сільської ради «Про встановлення ставок єдиного податку для суб’єктів господарювання юридичних осіб та фізичних осіб підприємців на території Крижанівської сільської ради Лиманського району Одеської області» з аналізом його регуляторного впливу та встановила наступне.</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lastRenderedPageBreak/>
        <w:t>Розробником проекту регуляторного акту є депутат Крижанівської сільської ради Спельнік С.В.</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Проект рішення підготовлено відповідно до Податкового кодексу України.</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1.Відповідність проекту регуляторного акту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w:t>
      </w:r>
      <w:r w:rsidRPr="007D3A25">
        <w:rPr>
          <w:rFonts w:ascii="Segoe UI" w:eastAsia="Times New Roman" w:hAnsi="Segoe UI" w:cs="Segoe UI"/>
          <w:b/>
          <w:bCs/>
          <w:color w:val="555555"/>
          <w:sz w:val="24"/>
          <w:szCs w:val="24"/>
          <w:lang w:val="ru-RU"/>
        </w:rPr>
        <w:t>».</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В цілому при підготовці проекту регуляторного акту витримана послідовність регуляторної діяльності: проект відповідає цілям державної регуляторної політики, а також його включено </w:t>
      </w:r>
      <w:proofErr w:type="gramStart"/>
      <w:r w:rsidRPr="007D3A25">
        <w:rPr>
          <w:rFonts w:ascii="Segoe UI" w:eastAsia="Times New Roman" w:hAnsi="Segoe UI" w:cs="Segoe UI"/>
          <w:color w:val="555555"/>
          <w:sz w:val="24"/>
          <w:szCs w:val="24"/>
          <w:lang w:val="ru-RU"/>
        </w:rPr>
        <w:t>до плану</w:t>
      </w:r>
      <w:proofErr w:type="gramEnd"/>
      <w:r w:rsidRPr="007D3A25">
        <w:rPr>
          <w:rFonts w:ascii="Segoe UI" w:eastAsia="Times New Roman" w:hAnsi="Segoe UI" w:cs="Segoe UI"/>
          <w:color w:val="555555"/>
          <w:sz w:val="24"/>
          <w:szCs w:val="24"/>
          <w:lang w:val="ru-RU"/>
        </w:rPr>
        <w:t xml:space="preserve"> діяльності з підготовки проектів регуляторних актів на 2019 рік, проведені роботи з регуляторної процедури:</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 розміщено повідомлення про оприлюднення проекту регуляторного акту та безпосередньо проект з аналізом його регуляторного впливу, про що проінформовано членів територіальної громади на офіційному сайті Крижанівської сільської ради в мережі Інтернет за </w:t>
      </w:r>
      <w:proofErr w:type="gramStart"/>
      <w:r w:rsidRPr="007D3A25">
        <w:rPr>
          <w:rFonts w:ascii="Segoe UI" w:eastAsia="Times New Roman" w:hAnsi="Segoe UI" w:cs="Segoe UI"/>
          <w:color w:val="555555"/>
          <w:sz w:val="24"/>
          <w:szCs w:val="24"/>
          <w:lang w:val="ru-RU"/>
        </w:rPr>
        <w:t xml:space="preserve">адресою </w:t>
      </w:r>
      <w:r w:rsidRPr="007D3A25">
        <w:rPr>
          <w:rFonts w:ascii="Segoe UI" w:eastAsia="Times New Roman" w:hAnsi="Segoe UI" w:cs="Segoe UI"/>
          <w:color w:val="555555"/>
          <w:sz w:val="24"/>
          <w:szCs w:val="24"/>
        </w:rPr>
        <w:t> http</w:t>
      </w:r>
      <w:proofErr w:type="gramEnd"/>
      <w:r w:rsidRPr="007D3A25">
        <w:rPr>
          <w:rFonts w:ascii="Segoe UI" w:eastAsia="Times New Roman" w:hAnsi="Segoe UI" w:cs="Segoe UI"/>
          <w:color w:val="555555"/>
          <w:sz w:val="24"/>
          <w:szCs w:val="24"/>
          <w:lang w:val="ru-RU"/>
        </w:rPr>
        <w:t>://</w:t>
      </w:r>
      <w:r w:rsidRPr="007D3A25">
        <w:rPr>
          <w:rFonts w:ascii="Segoe UI" w:eastAsia="Times New Roman" w:hAnsi="Segoe UI" w:cs="Segoe UI"/>
          <w:color w:val="555555"/>
          <w:sz w:val="24"/>
          <w:szCs w:val="24"/>
        </w:rPr>
        <w:t> fontanska</w:t>
      </w:r>
      <w:r w:rsidRPr="007D3A25">
        <w:rPr>
          <w:rFonts w:ascii="Segoe UI" w:eastAsia="Times New Roman" w:hAnsi="Segoe UI" w:cs="Segoe UI"/>
          <w:color w:val="555555"/>
          <w:sz w:val="24"/>
          <w:szCs w:val="24"/>
          <w:lang w:val="ru-RU"/>
        </w:rPr>
        <w:t>-</w:t>
      </w:r>
      <w:r w:rsidRPr="007D3A25">
        <w:rPr>
          <w:rFonts w:ascii="Segoe UI" w:eastAsia="Times New Roman" w:hAnsi="Segoe UI" w:cs="Segoe UI"/>
          <w:color w:val="555555"/>
          <w:sz w:val="24"/>
          <w:szCs w:val="24"/>
        </w:rPr>
        <w:t>rada</w:t>
      </w:r>
      <w:r w:rsidRPr="007D3A25">
        <w:rPr>
          <w:rFonts w:ascii="Segoe UI" w:eastAsia="Times New Roman" w:hAnsi="Segoe UI" w:cs="Segoe UI"/>
          <w:color w:val="555555"/>
          <w:sz w:val="24"/>
          <w:szCs w:val="24"/>
          <w:lang w:val="ru-RU"/>
        </w:rPr>
        <w:t>.</w:t>
      </w:r>
      <w:r w:rsidRPr="007D3A25">
        <w:rPr>
          <w:rFonts w:ascii="Segoe UI" w:eastAsia="Times New Roman" w:hAnsi="Segoe UI" w:cs="Segoe UI"/>
          <w:color w:val="555555"/>
          <w:sz w:val="24"/>
          <w:szCs w:val="24"/>
        </w:rPr>
        <w:t>gov</w:t>
      </w:r>
      <w:r w:rsidRPr="007D3A25">
        <w:rPr>
          <w:rFonts w:ascii="Segoe UI" w:eastAsia="Times New Roman" w:hAnsi="Segoe UI" w:cs="Segoe UI"/>
          <w:color w:val="555555"/>
          <w:sz w:val="24"/>
          <w:szCs w:val="24"/>
          <w:lang w:val="ru-RU"/>
        </w:rPr>
        <w:t>.</w:t>
      </w:r>
      <w:r w:rsidRPr="007D3A25">
        <w:rPr>
          <w:rFonts w:ascii="Segoe UI" w:eastAsia="Times New Roman" w:hAnsi="Segoe UI" w:cs="Segoe UI"/>
          <w:color w:val="555555"/>
          <w:sz w:val="24"/>
          <w:szCs w:val="24"/>
        </w:rPr>
        <w:t>ua</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Зауваження та пропозиції </w:t>
      </w:r>
      <w:proofErr w:type="gramStart"/>
      <w:r w:rsidRPr="007D3A25">
        <w:rPr>
          <w:rFonts w:ascii="Segoe UI" w:eastAsia="Times New Roman" w:hAnsi="Segoe UI" w:cs="Segoe UI"/>
          <w:color w:val="555555"/>
          <w:sz w:val="24"/>
          <w:szCs w:val="24"/>
          <w:lang w:val="ru-RU"/>
        </w:rPr>
        <w:t>до проекту</w:t>
      </w:r>
      <w:proofErr w:type="gramEnd"/>
      <w:r w:rsidRPr="007D3A25">
        <w:rPr>
          <w:rFonts w:ascii="Segoe UI" w:eastAsia="Times New Roman" w:hAnsi="Segoe UI" w:cs="Segoe UI"/>
          <w:color w:val="555555"/>
          <w:sz w:val="24"/>
          <w:szCs w:val="24"/>
          <w:lang w:val="ru-RU"/>
        </w:rPr>
        <w:t xml:space="preserve"> рішення від фізичних та юридичних осіб не надходили.</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Таким чином, проект регуляторного акту</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w:t>
      </w:r>
      <w:r w:rsidRPr="007D3A25">
        <w:rPr>
          <w:rFonts w:ascii="Segoe UI" w:eastAsia="Times New Roman" w:hAnsi="Segoe UI" w:cs="Segoe UI"/>
          <w:b/>
          <w:bCs/>
          <w:i/>
          <w:iCs/>
          <w:color w:val="555555"/>
          <w:sz w:val="24"/>
          <w:szCs w:val="24"/>
        </w:rPr>
        <w:t> </w:t>
      </w:r>
      <w:r w:rsidRPr="007D3A25">
        <w:rPr>
          <w:rFonts w:ascii="Segoe UI" w:eastAsia="Times New Roman" w:hAnsi="Segoe UI" w:cs="Segoe UI"/>
          <w:color w:val="555555"/>
          <w:sz w:val="24"/>
          <w:szCs w:val="24"/>
          <w:lang w:val="ru-RU"/>
        </w:rPr>
        <w:t>«Про встановлення ставок єдиного податку для суб’єктів господарювання юридичних осіб та фізичних осіб підприємців на території Крижанівської сільської ради» з аналізом його регуляторного впливу</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rsidR="007D3A25" w:rsidRPr="007D3A25" w:rsidRDefault="007D3A25" w:rsidP="007D3A25">
      <w:pPr>
        <w:numPr>
          <w:ilvl w:val="0"/>
          <w:numId w:val="7"/>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Відповідність проекту регуляторного акту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Стосовно вищевказаного проекту рішення розроблено аналіз регуляторного впливу, який був підготовлений до оприлюднення проекту регуляторного акту з метою одержання зауважень та пропозицій.</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Даним аналізом регуляторного впливу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обґрунтовано, чому визначена проблема не може бути розв’язана за допомогою ринкових механізмів і потребує державного регулювання, </w:t>
      </w:r>
      <w:proofErr w:type="gramStart"/>
      <w:r w:rsidRPr="007D3A25">
        <w:rPr>
          <w:rFonts w:ascii="Segoe UI" w:eastAsia="Times New Roman" w:hAnsi="Segoe UI" w:cs="Segoe UI"/>
          <w:color w:val="555555"/>
          <w:sz w:val="24"/>
          <w:szCs w:val="24"/>
          <w:lang w:val="ru-RU"/>
        </w:rPr>
        <w:t>або</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визначена</w:t>
      </w:r>
      <w:proofErr w:type="gramEnd"/>
      <w:r w:rsidRPr="007D3A25">
        <w:rPr>
          <w:rFonts w:ascii="Segoe UI" w:eastAsia="Times New Roman" w:hAnsi="Segoe UI" w:cs="Segoe UI"/>
          <w:color w:val="555555"/>
          <w:sz w:val="24"/>
          <w:szCs w:val="24"/>
          <w:lang w:val="ru-RU"/>
        </w:rPr>
        <w:t xml:space="preserve"> проблема не може бути розв’язана за допомогою діючих регуляторних актів, та розглянуто можливість внесення змін до них. Визначено очікувані результати прийняття запропонованого регуляторного акту, у тому числі здійснено розрахунок очікуваних витрат та вигод суб’єктів господарювання, громадян та держави внаслідок дії регуляторного акту.</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lastRenderedPageBreak/>
        <w:t>Визначено цілі державного регулювання, та оцінено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 аргументовано переваги обраного способу досягнення встановлених цілей. Описано механізми і заходи, які забезпечать розв’язання визначеної проблеми шляхом прийняття запропонованого регуляторного акту та обґрунтовано можливість досягнення встановлених цілей у разі прийняття запропонованого регуляторного акта, та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 а вигоди, які виникатимуть внаслідок дії запропонованого регуляторного акту, виправдовують відповідні витрати у випадку, якщо витрати та/або вигоди не можуть бути кількісно визначені.</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Оцінено можливість впровадження та виконання вимог регуляторного акту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 та ризик впливу зовнішніх чинників на дію запропонованого регуляторного акта.</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Обґрунтовано строк чинності регуляторного акту, визначено показники результативності регуляторного акту та заходи, за допомогою яких буде здійснюватися відстеження результативності регуляторного акту в разі його прийняття.</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Узагальнений висновок:</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Постійна депутатська комісія з прав людини, регламенту, депутатської діяльності, етики, законності, регуляторної політики та конфлікту інтересів Крижанівської сільської ради за підсумками розгляду вважає, що проект регуляторного акту – проект рішення сільської ради «Про встановлення ставок єдиного податку для суб’єктів господарювання юридичних осіб та фізичних осіб підприємців на території Крижанівської сільської ради» та аналіз його регуляторного впливу відповідають вимогам ст. ст.4, 8 Закону України «Про засади державної регуляторної політики у сфері господарської діяльності».</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7D3A25" w:rsidRPr="007D3A25" w:rsidRDefault="007D3A25" w:rsidP="007D3A25">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rPr>
        <w:t> </w:t>
      </w:r>
    </w:p>
    <w:p w:rsidR="007D3A25" w:rsidRPr="007D3A25" w:rsidRDefault="007D3A25" w:rsidP="00CC22DD">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rPr>
        <w:t> </w:t>
      </w:r>
      <w:bookmarkStart w:id="0" w:name="_GoBack"/>
      <w:bookmarkEnd w:id="0"/>
    </w:p>
    <w:p w:rsidR="00F112A7" w:rsidRPr="007D3A25" w:rsidRDefault="00F112A7" w:rsidP="007D3A25">
      <w:pPr>
        <w:rPr>
          <w:lang w:val="ru-RU"/>
        </w:rPr>
      </w:pPr>
    </w:p>
    <w:sectPr w:rsidR="00F112A7" w:rsidRPr="007D3A2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BA0"/>
    <w:multiLevelType w:val="multilevel"/>
    <w:tmpl w:val="6EA2DE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D0E8B"/>
    <w:multiLevelType w:val="multilevel"/>
    <w:tmpl w:val="4002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922BA"/>
    <w:multiLevelType w:val="multilevel"/>
    <w:tmpl w:val="DDDA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569CD"/>
    <w:multiLevelType w:val="multilevel"/>
    <w:tmpl w:val="79FC54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F3F58"/>
    <w:multiLevelType w:val="multilevel"/>
    <w:tmpl w:val="C60E9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15CAC"/>
    <w:multiLevelType w:val="multilevel"/>
    <w:tmpl w:val="162ACF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95471"/>
    <w:multiLevelType w:val="multilevel"/>
    <w:tmpl w:val="997E2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7A695F"/>
    <w:multiLevelType w:val="multilevel"/>
    <w:tmpl w:val="806E71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96A47"/>
    <w:multiLevelType w:val="multilevel"/>
    <w:tmpl w:val="E55EF7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D6215"/>
    <w:multiLevelType w:val="multilevel"/>
    <w:tmpl w:val="F1D4E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251AAE"/>
    <w:multiLevelType w:val="multilevel"/>
    <w:tmpl w:val="6AD4D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2B4493"/>
    <w:multiLevelType w:val="multilevel"/>
    <w:tmpl w:val="E42E52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C435A6"/>
    <w:multiLevelType w:val="multilevel"/>
    <w:tmpl w:val="C3BC77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355F1A"/>
    <w:multiLevelType w:val="multilevel"/>
    <w:tmpl w:val="625273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AD0994"/>
    <w:multiLevelType w:val="multilevel"/>
    <w:tmpl w:val="611A95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03662"/>
    <w:multiLevelType w:val="multilevel"/>
    <w:tmpl w:val="3992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F05F1E"/>
    <w:multiLevelType w:val="multilevel"/>
    <w:tmpl w:val="98F440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20AF7"/>
    <w:multiLevelType w:val="multilevel"/>
    <w:tmpl w:val="D01C6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4841B9"/>
    <w:multiLevelType w:val="multilevel"/>
    <w:tmpl w:val="170C9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91EC1"/>
    <w:multiLevelType w:val="multilevel"/>
    <w:tmpl w:val="13AC0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042170"/>
    <w:multiLevelType w:val="multilevel"/>
    <w:tmpl w:val="16F4F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891CFB"/>
    <w:multiLevelType w:val="multilevel"/>
    <w:tmpl w:val="E612F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7F39F5"/>
    <w:multiLevelType w:val="multilevel"/>
    <w:tmpl w:val="3FDAEF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CC7E70"/>
    <w:multiLevelType w:val="multilevel"/>
    <w:tmpl w:val="B5E49B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CF2EF1"/>
    <w:multiLevelType w:val="multilevel"/>
    <w:tmpl w:val="0578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9447DE"/>
    <w:multiLevelType w:val="multilevel"/>
    <w:tmpl w:val="8BFA7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B7440E"/>
    <w:multiLevelType w:val="multilevel"/>
    <w:tmpl w:val="207C7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9E7FA9"/>
    <w:multiLevelType w:val="multilevel"/>
    <w:tmpl w:val="7708E5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5E3E94"/>
    <w:multiLevelType w:val="multilevel"/>
    <w:tmpl w:val="E95E7C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1C444B"/>
    <w:multiLevelType w:val="multilevel"/>
    <w:tmpl w:val="7ED2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F8600D"/>
    <w:multiLevelType w:val="multilevel"/>
    <w:tmpl w:val="5F6C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8"/>
  </w:num>
  <w:num w:numId="4">
    <w:abstractNumId w:val="30"/>
  </w:num>
  <w:num w:numId="5">
    <w:abstractNumId w:val="21"/>
  </w:num>
  <w:num w:numId="6">
    <w:abstractNumId w:val="24"/>
  </w:num>
  <w:num w:numId="7">
    <w:abstractNumId w:val="9"/>
  </w:num>
  <w:num w:numId="8">
    <w:abstractNumId w:val="1"/>
  </w:num>
  <w:num w:numId="9">
    <w:abstractNumId w:val="28"/>
  </w:num>
  <w:num w:numId="10">
    <w:abstractNumId w:val="29"/>
  </w:num>
  <w:num w:numId="11">
    <w:abstractNumId w:val="25"/>
  </w:num>
  <w:num w:numId="12">
    <w:abstractNumId w:val="26"/>
  </w:num>
  <w:num w:numId="13">
    <w:abstractNumId w:val="14"/>
  </w:num>
  <w:num w:numId="14">
    <w:abstractNumId w:val="7"/>
  </w:num>
  <w:num w:numId="15">
    <w:abstractNumId w:val="0"/>
  </w:num>
  <w:num w:numId="16">
    <w:abstractNumId w:val="17"/>
  </w:num>
  <w:num w:numId="17">
    <w:abstractNumId w:val="23"/>
  </w:num>
  <w:num w:numId="18">
    <w:abstractNumId w:val="22"/>
  </w:num>
  <w:num w:numId="19">
    <w:abstractNumId w:val="13"/>
  </w:num>
  <w:num w:numId="20">
    <w:abstractNumId w:val="12"/>
  </w:num>
  <w:num w:numId="21">
    <w:abstractNumId w:val="10"/>
  </w:num>
  <w:num w:numId="22">
    <w:abstractNumId w:val="6"/>
  </w:num>
  <w:num w:numId="23">
    <w:abstractNumId w:val="15"/>
  </w:num>
  <w:num w:numId="24">
    <w:abstractNumId w:val="4"/>
  </w:num>
  <w:num w:numId="25">
    <w:abstractNumId w:val="27"/>
  </w:num>
  <w:num w:numId="26">
    <w:abstractNumId w:val="11"/>
  </w:num>
  <w:num w:numId="27">
    <w:abstractNumId w:val="20"/>
  </w:num>
  <w:num w:numId="28">
    <w:abstractNumId w:val="3"/>
  </w:num>
  <w:num w:numId="29">
    <w:abstractNumId w:val="16"/>
  </w:num>
  <w:num w:numId="30">
    <w:abstractNumId w:val="5"/>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36"/>
    <w:rsid w:val="00433436"/>
    <w:rsid w:val="00715EEE"/>
    <w:rsid w:val="007D3A25"/>
    <w:rsid w:val="008753B9"/>
    <w:rsid w:val="00B47D4A"/>
    <w:rsid w:val="00CC22DD"/>
    <w:rsid w:val="00F112A7"/>
    <w:rsid w:val="00F2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2F0E1-BAC2-44D0-9A6B-F7AF5AD1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4513">
      <w:bodyDiv w:val="1"/>
      <w:marLeft w:val="0"/>
      <w:marRight w:val="0"/>
      <w:marTop w:val="0"/>
      <w:marBottom w:val="0"/>
      <w:divBdr>
        <w:top w:val="none" w:sz="0" w:space="0" w:color="auto"/>
        <w:left w:val="none" w:sz="0" w:space="0" w:color="auto"/>
        <w:bottom w:val="none" w:sz="0" w:space="0" w:color="auto"/>
        <w:right w:val="none" w:sz="0" w:space="0" w:color="auto"/>
      </w:divBdr>
    </w:div>
    <w:div w:id="1002468317">
      <w:bodyDiv w:val="1"/>
      <w:marLeft w:val="0"/>
      <w:marRight w:val="0"/>
      <w:marTop w:val="0"/>
      <w:marBottom w:val="0"/>
      <w:divBdr>
        <w:top w:val="none" w:sz="0" w:space="0" w:color="auto"/>
        <w:left w:val="none" w:sz="0" w:space="0" w:color="auto"/>
        <w:bottom w:val="none" w:sz="0" w:space="0" w:color="auto"/>
        <w:right w:val="none" w:sz="0" w:space="0" w:color="auto"/>
      </w:divBdr>
    </w:div>
    <w:div w:id="13373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3316</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2021-04-19T07:03:00Z</dcterms:created>
  <dcterms:modified xsi:type="dcterms:W3CDTF">2021-04-19T09:43:00Z</dcterms:modified>
</cp:coreProperties>
</file>