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29758D">
      <w:pPr>
        <w:pStyle w:val="Textbody"/>
        <w:spacing w:after="0" w:line="360" w:lineRule="auto"/>
        <w:jc w:val="center"/>
        <w:rPr>
          <w:rFonts w:ascii="Times New Roman" w:hAnsi="Times New Roman"/>
          <w:b/>
          <w:bCs/>
          <w:color w:val="auto"/>
          <w:sz w:val="32"/>
          <w:szCs w:val="32"/>
        </w:rPr>
      </w:pPr>
      <w:r>
        <w:rPr>
          <w:rFonts w:ascii="Times New Roman" w:hAnsi="Times New Roman"/>
          <w:b/>
          <w:bCs/>
          <w:color w:val="auto"/>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60840</wp:posOffset>
            </wp:positionV>
            <wp:extent cx="720000" cy="720000"/>
            <wp:effectExtent l="0" t="0" r="4445" b="4445"/>
            <wp:wrapTopAndBottom/>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opentbs1">
                      <a:lum/>
                      <a:alphaModFix/>
                    </a:blip>
                    <a:srcRect/>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auto"/>
          <w:sz w:val="32"/>
          <w:szCs w:val="32"/>
        </w:rPr>
        <w:t>АНАЛІЗ РЕГУЛЯТОРНОГО ВПЛИВУ</w:t>
      </w:r>
    </w:p>
    <w:p w:rsidRDefault="0029758D">
      <w:pPr>
        <w:pStyle w:val="Textbody"/>
        <w:spacing w:after="0" w:line="360" w:lineRule="auto"/>
        <w:jc w:val="center"/>
        <w:rPr>
          <w:rFonts w:ascii="Times New Roman" w:hAnsi="Times New Roman"/>
          <w:b/>
          <w:bCs/>
          <w:sz w:val="28"/>
          <w:szCs w:val="28"/>
        </w:rPr>
      </w:pPr>
      <w:r>
        <w:rPr>
          <w:rFonts w:ascii="Times New Roman" w:hAnsi="Times New Roman"/>
          <w:b/>
          <w:bCs/>
          <w:sz w:val="28"/>
          <w:szCs w:val="28"/>
        </w:rPr>
        <w:t>рішення Фонтанської сільської ради "Про затвердження правил благоустрою"</w:t>
      </w: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І. Визначення проблеми</w:t>
      </w:r>
    </w:p>
    <w:p w:rsidRDefault="0029758D">
      <w:pPr>
        <w:pStyle w:val="Textbody"/>
        <w:spacing w:after="0" w:line="360" w:lineRule="auto"/>
        <w:rPr>
          <w:rFonts w:ascii="Times New Roman" w:hAnsi="Times New Roman"/>
          <w:sz w:val="28"/>
          <w:szCs w:val="28"/>
        </w:rPr>
      </w:pPr>
      <w:r>
        <w:rPr>
          <w:rFonts w:ascii="Times New Roman" w:hAnsi="Times New Roman"/>
          <w:b/>
          <w:bCs/>
          <w:sz w:val="28"/>
          <w:szCs w:val="28"/>
        </w:rPr>
        <w:t>Проблема</w:t>
      </w:r>
      <w:r>
        <w:rPr>
          <w:rFonts w:ascii="Times New Roman" w:hAnsi="Times New Roman"/>
          <w:b/>
          <w:bCs/>
          <w:sz w:val="28"/>
          <w:szCs w:val="28"/>
          <w:shd w:val="clear" w:color="auto" w:fill="FFFFFF"/>
        </w:rPr>
        <w:t>, яку передбачається розв'язати шляхом державного регулювання:</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У зв'язку із створенням Фонтанської сільської ради, як об'єднаної територіальної громади до якої увійшло 7 населених пунктів виникла гостра необхідність у запровадженні є диних на території ради правил, що забезпечують належне прибирання території громади, а також  утримання об’єктів та елементів благоустрою. Найбільш проблемним питанням є вивезення твердих побутових відходів, санітарна очистка населених пунктів, самовільні порушення об’єктів благоустрою, самовільне встановлення тимчасових споруд і гаражів та утримання зелених насаджень.</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Причини виникнення проблеми:</w:t>
      </w:r>
    </w:p>
    <w:p w:rsidRDefault="0029758D" w:rsidP="00A619A4">
      <w:pPr>
        <w:pStyle w:val="Textbody"/>
        <w:numPr>
          <w:ilvl w:val="0"/>
          <w:numId w:val="1"/>
        </w:numPr>
        <w:spacing w:after="0" w:line="360" w:lineRule="auto"/>
        <w:jc w:val="both"/>
        <w:rPr>
          <w:rFonts w:ascii="Times New Roman" w:hAnsi="Times New Roman"/>
          <w:sz w:val="28"/>
          <w:szCs w:val="28"/>
        </w:rPr>
      </w:pPr>
      <w:r>
        <w:rPr>
          <w:rFonts w:ascii="Times New Roman" w:hAnsi="Times New Roman"/>
          <w:sz w:val="28"/>
          <w:szCs w:val="28"/>
        </w:rPr>
        <w:t>•	Створення єдиної громади до складу якої увійшли 4 сільських ради, у кожній з яких питання благоустрою вирішувалось окремо.</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Підтвердження важливості проблеми:</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Благоустрій – це візитна картка кожного населеного пункту. Стан вулично-дорожньої мережі, освітлення, озеленення та чистота території міста – оцінка як місцевої влади, так і громадського впливу. Це показник рівня участі міської громади у вирішенні проблем та перспектив розвитку сфери благоустрою та комунального обслуговування територій міста.</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Показники існування та масштабу проблеми</w:t>
      </w:r>
    </w:p>
    <w:tbl>
      <w:tblPr>
        <w:tblW w:w="9375" w:type="dxa"/>
        <w:tblLayout w:type="fixed"/>
        <w:tblCellMar>
          <w:left w:w="10" w:type="dxa"/>
          <w:right w:w="10" w:type="dxa"/>
        </w:tblCellMar>
        <w:tblLook w:val="0000" w:firstRow="0" w:lastRow="0" w:firstColumn="0" w:lastColumn="0" w:noHBand="0" w:noVBand="0"/>
      </w:tblPr>
      <w:tblGrid>
        <w:gridCol w:w="2436"/>
        <w:gridCol w:w="2363"/>
        <w:gridCol w:w="2377"/>
        <w:gridCol w:w="2199"/>
      </w:tblGrid>
      <w:tr>
        <w:tc>
          <w:tcPr>
            <w:tcW w:w="24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Назва показника</w:t>
            </w:r>
          </w:p>
        </w:tc>
        <w:tc>
          <w:tcPr>
            <w:tcW w:w="23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Одиниця виміру</w:t>
            </w:r>
          </w:p>
        </w:tc>
        <w:tc>
          <w:tcPr>
            <w:tcW w:w="237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Значення</w:t>
            </w:r>
          </w:p>
        </w:tc>
        <w:tc>
          <w:tcPr>
            <w:tcW w:w="21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Джерело даних</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складених протоколів щодо порушення вимог регуляторного акту</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виданих дозволів на планові порушення об’єктів благоустрою</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виданих дозволів на аварійні порушення об’єктів благоустрою</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Відсоток укладених споживачами  договорів на вивіз ТПВ</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відсоток</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49</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r>
    </w:tbl>
    <w:p w:rsidRDefault="00BB4ED7">
      <w:pPr>
        <w:pStyle w:val="Textbody"/>
        <w:spacing w:after="0" w:line="360" w:lineRule="auto"/>
        <w:rPr>
          <w:rFonts w:ascii="Times New Roman" w:hAnsi="Times New Roman"/>
          <w:sz w:val="28"/>
          <w:szCs w:val="28"/>
          <w:shd w:val="clear" w:color="auto" w:fill="FFFFFF"/>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shd w:val="clear" w:color="auto" w:fill="FFFFFF"/>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Ні</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Суб’єкти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у тому числі суб’єкти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Обґрунтування неможливості вирішення проблеми за допомогою ринкових механізмів:</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чинного законодавства є компетенцією сільської ради.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Обґрунтування неможливості вирішення проблеми за допомогою діючих регуляторних актів:</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Діючі регуляторні акти у сфері благоустрою розповсюджуються виключно на територію однієї колишньої сільської ради та не можуть використовуватись для регулювання відносин всієї громади</w:t>
      </w:r>
    </w:p>
    <w:p w:rsidRDefault="00BB4ED7">
      <w:pPr>
        <w:pStyle w:val="Textbody"/>
        <w:spacing w:after="0" w:line="360" w:lineRule="auto"/>
        <w:jc w:val="center"/>
        <w:rPr>
          <w:rFonts w:ascii="Times New Roman" w:hAnsi="Times New Roman"/>
          <w:b/>
          <w:bCs/>
          <w:sz w:val="32"/>
          <w:szCs w:val="32"/>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ІІ. Цілі державного регулювання</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Цілі державного регулювання, безпосередньо пов'язані з розв'язанням проблеми: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	Метою запропонованого регуляторного акту є упорядкування благоустрою та підтримання екологічної чистоти і порядку на території населених пунктів громади, встановлення законодавчо врегульованих прав і обов’язків та підвищення відповідальності керівників підприємств, установ та організацій всіх форм власності та громадян, для забезпечення умов, сприятливих для життєдіяльності людини.</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III. Визначення та оцінка альтернативних способів досягнення цілей</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1. Визначення альтернативних способів</w:t>
      </w:r>
    </w:p>
    <w:tbl>
      <w:tblPr>
        <w:tblW w:w="9375" w:type="dxa"/>
        <w:tblLayout w:type="fixed"/>
        <w:tblCellMar>
          <w:left w:w="10" w:type="dxa"/>
          <w:right w:w="10" w:type="dxa"/>
        </w:tblCellMar>
        <w:tblLook w:val="0000" w:firstRow="0" w:lastRow="0" w:firstColumn="0" w:lastColumn="0" w:noHBand="0" w:noVBand="0"/>
      </w:tblPr>
      <w:tblGrid>
        <w:gridCol w:w="4686"/>
        <w:gridCol w:w="4689"/>
      </w:tblGrid>
      <w:tr>
        <w:tc>
          <w:tcPr>
            <w:tcW w:w="468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46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Опис альтернативи</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На теперішній час діючими є Правила благоустрою прийняті Фонтанською (до створення ОТГ) та Крижанівською сільськими радами. При цьому, на території  Новодофінівської та Олександрівської сілських рад зазначені правила відсутні. Таким чином ця альтернатива є неприйнятною як для мешканців громади, так і для органів місцевого самоврядування, оскільки не можуть за допомогою сучасних правових важелів регулювати відносини у сфері благоустрою, забезпечувати охорону прав і законних інтересів громадян.</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залучення юридичних та фізичних осіб до добровільного виконання дій, спрямованих на утримання населених пунктів в належному санітарному стані, збереження елементів благоустрою.</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Прийняття рішення Фонтанської сільської  ради «Про затвердження Правил благоустроютериторії Фонтанської сільської ради». Затвердження Правил забезпечить:
                <w:br/>
                – дотримання вимог законодавства щодо затвердження органом місцевого самоврядування правил благоустрою території;
                <w:br/>
                – чітке визначення прав і обов’язків суб’єктів у сфері благоустрою;
                <w:br/>
                – розмежування відповідальності між суб’єктами господарювання, населенням та органом місцевого самоврядування;
                <w:br/>
                - наявність єдиного систематизованого нормативно-правового акту, який регулює відносини, що виникають у сфері благоустрою Фонтанської сільської ради, визначає правові, економічні, екологічні, соціальні та організаційні засади благоустрою населених пунктів сільської ради і спрямований на створення сприятливих умов для життєдіяльності людини;
                <w:br/>
                - дає змогу ширшого застосування статті 152 Кодексу України про адміністративні правопорушення
                <w:br/>
              </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2. Оцінка вибраних альтернативних способів досягнення цілей</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держави</w:t>
      </w: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tc>
          <w:tcPr>
            <w:tcW w:w="313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Відстуні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Організація робіт та заходів з благоустрою територій Фонтанської сільської ради,  відновлення об’єктів благоустрою та ліквідація стихійних сміттєзвалищ  а також вивезення побутових відходів з 7 населених пунктів за рахунок місцевого бюджету щорічно складатиме орієнтовно 20000,00 тис.грн.</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Витрати, пов'язані із забезпеченням підтримання належного санітарного стану території сілської ради покладається на у повному обсязі на фізичних та юридичних осіб</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Упорядкування  відносин між суб'єктами у сфері благоустрою відповідно до державних норм, стандартів і правил щодо питань благоустрою.</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Витрати робочого часу спеціалістів на підготовку регуляторного акту, витрати на публікації, контроль за виконанням регуляторного акту  за рік складають 4723,9грн.; 
                <w:br/>
                вартість часу співробітника сілської ради відповідної категорії (заробітна плата) – 24,35 грн./ 1 роб. час;
                <w:br/>
              </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Організація роботи та заходів з благоустрою населених пунктів, а також відновлення об’єктів благоустрою за рахунок місцевого бюджету</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Можливість самостійно обирати форми, обсяг та виконавців заходів з благоустрою населених пунктів за власним бажанням</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Встановлені засобами державного регулювання витрати відсутні</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Очевидні, покращення санітарного  стану міста, відкритість та доступність  для громадян інформації про благоустрій населених пунктів, покращення зовнішнього благоустрою міста, естетичного вигляду об'єктів благоустрою (вулиць, скверів, площ, зупинок громадського транспорту тощо).</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Прямі витрати регуляторним актом не передбачені</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суб'єктів господарювання</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1</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2</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3</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3"/>
        <w:gridCol w:w="1263"/>
        <w:gridCol w:w="1240"/>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4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4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tbl>
      <w:tblPr>
        <w:tblW w:w="9375" w:type="dxa"/>
        <w:tblLayout w:type="fixed"/>
        <w:tblCellMar>
          <w:left w:w="10" w:type="dxa"/>
          <w:right w:w="10" w:type="dxa"/>
        </w:tblCellMar>
        <w:tblLook w:val="0000" w:firstRow="0" w:lastRow="0" w:firstColumn="0" w:lastColumn="0" w:noHBand="0" w:noVBand="0"/>
      </w:tblPr>
      <w:tblGrid>
        <w:gridCol w:w="3131"/>
        <w:gridCol w:w="3114"/>
        <w:gridCol w:w="3130"/>
      </w:tblGrid>
      <w:tr>
        <w:tc>
          <w:tcPr>
            <w:tcW w:w="313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Організація роботи та заходів з благоустрою населених пунктів, а також відновлення об’єктів благоустрою за рахунок місцевого бюджету</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Можливість самостійно обирати форми, обсяг та виконавців заходів з благоустрою населених пунктів за власним бажанням</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Встановлені засобами державного регулювання витрати відсутні</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Наявність документу, що регламентує основні вимоги щодо організації виконання робіт з благоустрою міста; гарантовані та рівні можливості.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Прямі витрати регуляторним актом не передбачені
                <w:br/>
                Можливі витрати на утримання в належному санітарному стані територій власних або орендованих земельних ділянок та прилеглих до них територій, зелених насаджень та інших об'єктів благоустрою.
                <w:br/>
              </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сумарних витрат за альтернативами</w:t>
      </w:r>
    </w:p>
    <w:tbl>
      <w:tblPr>
        <w:tblW w:w="9375" w:type="dxa"/>
        <w:tblLayout w:type="fixed"/>
        <w:tblCellMar>
          <w:left w:w="10" w:type="dxa"/>
          <w:right w:w="10" w:type="dxa"/>
        </w:tblCellMar>
        <w:tblLook w:val="0000" w:firstRow="0" w:lastRow="0" w:firstColumn="0" w:lastColumn="0" w:noHBand="0" w:noVBand="0"/>
      </w:tblPr>
      <w:tblGrid>
        <w:gridCol w:w="4688"/>
        <w:gridCol w:w="4687"/>
      </w:tblGrid>
      <w:tr>
        <w:tc>
          <w:tcPr>
            <w:tcW w:w="468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Сумарні витрати за альтернативами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Сума витрат, гривень</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IV. Вибір найбільш оптимального альтернативного способу досягнення цілей</w:t>
      </w:r>
    </w:p>
    <w:tbl>
      <w:tblPr>
        <w:tblW w:w="9375" w:type="dxa"/>
        <w:tblLayout w:type="fixed"/>
        <w:tblCellMar>
          <w:left w:w="10" w:type="dxa"/>
          <w:right w:w="10" w:type="dxa"/>
        </w:tblCellMar>
        <w:tblLook w:val="0000" w:firstRow="0" w:lastRow="0" w:firstColumn="0" w:lastColumn="0" w:noHBand="0" w:noVBand="0"/>
      </w:tblPr>
      <w:tblGrid>
        <w:gridCol w:w="3644"/>
        <w:gridCol w:w="3105"/>
        <w:gridCol w:w="2626"/>
      </w:tblGrid>
      <w:tr>
        <w:tc>
          <w:tcPr>
            <w:tcW w:w="364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 результативності (досягнення цілей під час вирішення проблеми)</w:t>
            </w:r>
          </w:p>
        </w:tc>
        <w:tc>
          <w:tcPr>
            <w:tcW w:w="31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Бал результативності (за чотирибальною системою оцінки)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Коментарі щодо присвоєння відповідного бала</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1 - цілі прийняття регуляторного акта не можуть бути досягнуті (проблема продовжує існувати)</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Дана альтернатива є неприйнятною, як для мешканців сіл, так і для органу місцевого самоврядування, оскільки діючі правила не розповсюджуються на територію усієї громади, а тому не можуть за допомогою сучасних важелів регулювати відносини у сфері благоустрою, забезпечувати охорону прав і законних інтересів громадян населених пунктів Фонтанськоїсільської ради.</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1 - цілі прийняття регуляторного акта не можуть бути досягнуті (проблема продовжує існувати)</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Залучення до вказаних дій на добровільній основі не є методом, що забезпечує постійне докладання зусиль до збереження благоустрою населених пунктів, оскільки такі дії можуть здійснюватися виключно на добровільній основі. Дія такого способу є неефективною.</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4 - цілі прийняття регуляторного акта можуть бути досягнуті повною мірою (проблема більше існувати не буде)</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Затвердження Правил благоустрою на території Фонтанської сільської ради, як нормативно-правового акту є єдиним прийнятним заходом, що цілком відповідає вимогам законодавства.</w:t>
            </w:r>
          </w:p>
        </w:tc>
      </w:tr>
    </w:tbl>
    <w:p w:rsidRDefault="00BB4ED7">
      <w:pPr>
        <w:pStyle w:val="Textbody"/>
        <w:spacing w:after="0" w:line="360" w:lineRule="auto"/>
        <w:rPr>
          <w:rFonts w:ascii="Times New Roman" w:hAnsi="Times New Roman"/>
          <w:sz w:val="28"/>
          <w:szCs w:val="28"/>
        </w:rPr>
      </w:pPr>
    </w:p>
    <w:tbl>
      <w:tblPr>
        <w:tblW w:w="9375" w:type="dxa"/>
        <w:tblLayout w:type="fixed"/>
        <w:tblCellMar>
          <w:left w:w="10" w:type="dxa"/>
          <w:right w:w="10" w:type="dxa"/>
        </w:tblCellMar>
        <w:tblLook w:val="0000" w:firstRow="0" w:lastRow="0" w:firstColumn="0" w:lastColumn="0" w:noHBand="0" w:noVBand="0"/>
      </w:tblPr>
      <w:tblGrid>
        <w:gridCol w:w="1808"/>
        <w:gridCol w:w="2467"/>
        <w:gridCol w:w="2809"/>
        <w:gridCol w:w="2291"/>
      </w:tblGrid>
      <w:tr>
        <w:tc>
          <w:tcPr>
            <w:tcW w:w="180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 результативності</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Обґрунтування відповідного місця альтернативи у рейтингу</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Витрати, пов'язані із забезпеченням підтримання належного санітарного стану території сілської ради покладається на у повному обсязі на фізичних та юридичних осіб</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Можливість самостійно обирати форми, обсяг та виконавців заходів з благоустрою населених пунктів за власним бажанням</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Можливість самостійно обирати форми, обсяг та виконавців заходів з благоустрою населених пунктів за власним бажанням</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Встановлені засобами державного регулювання витрати 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Встановлені засобами державного регулювання витрати відсутні</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Дотримання вимог нормативних актів у сфері благоустрою на добровільній основі не є методом, що забезпечує постійне докладання зусиль до збереження благоустрою населених пунктів, оскільки такі дії можуть здійснюватися виключно на добровільній основі. Дія такого способу є неефективною.</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Відстуні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Організація роботи та заходів з благоустрою населених пунктів, а також відновлення об’єктів благоустрою за рахунок місцевого бюджету</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Організація роботи та заходів з благоустрою населених пунктів, а також відновлення об’єктів благоустрою за рахунок місцевого бюджету</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Організація робіт та заходів з благоустрою територій Фонтанської сільської ради,  відновлення об’єктів благоустрою та ліквідація стихійних сміттєзвалищ  а також вивезення побутових відходів з 7 населених пунктів за рахунок місцевого бюджету щорічно складатиме орієнтовно 20000,00 тис.грн.</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Відсутні</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Дана альтернатива є неприйнятною, як для мешканців сіл, так і для органу місцевого самоврядування, оскільки діючі правила не розповсюджуються на територію усієї громади, а тому не можуть за допомогою сучасних важелів регулювати відносини у сфері благоустрою, забезпечувати охорону прав і законних інтересів громадян населених пунктів Фонтанськоїсільської ради.</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Упорядкування  відносин між суб'єктами у сфері благоустрою відповідно до державних норм, стандартів і правил щодо питань благоустрою.</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Очевидні, покращення санітарного  стану міста, відкритість та доступність  для громадян інформації про благоустрій населених пунктів, покращення зовнішнього благоустрою міста, естетичного вигляду об'єктів благоустрою (вулиць, скверів, площ, зупинок громадського транспорту тощо).</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Наявність документу, що регламентує основні вимоги щодо організації виконання робіт з благоустрою міста; гарантовані та рівні можливості.</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Витрати робочого часу спеціалістів на підготовку регуляторного акту, витрати на публікації, контроль за виконанням регуляторного акту  за рік складають 4723,9грн.; 
                <w:br/>
                вартість часу співробітника сілської ради відповідної категорії (заробітна плата) – 24,35 грн./ 1 роб. час;
                <w:br/>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Прямі витрати регуляторним актом не передбачені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Прямі витрати регуляторним актом не передбачені
                <w:br/>
                Можливі витрати на утримання в належному санітарному стані територій власних або орендованих земельних ділянок та прилеглих до них територій, зелених насаджень та інших об'єктів благоустрою.
                <w:br/>
              </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Очевидні, покращення санітарного  стану території громади, відкритість та доступність  для громадян інформації про благоустрій населених пунктів, покращення зовнішнього благоустрою населених пунктів, естетичного вигляду об'єктів благоустрою (вулиць, скверів, площ, зупинок громадського транспорту тощо).</w:t>
            </w:r>
          </w:p>
        </w:tc>
      </w:tr>
    </w:tbl>
    <w:p w:rsidRDefault="00BB4ED7">
      <w:pPr>
        <w:pStyle w:val="Textbody"/>
        <w:spacing w:after="0" w:line="360" w:lineRule="auto"/>
        <w:rPr>
          <w:rFonts w:ascii="Times New Roman" w:hAnsi="Times New Roman"/>
          <w:sz w:val="28"/>
          <w:szCs w:val="28"/>
        </w:rPr>
      </w:pPr>
    </w:p>
    <w:tbl>
      <w:tblPr>
        <w:tblW w:w="9375" w:type="dxa"/>
        <w:tblLayout w:type="fixed"/>
        <w:tblCellMar>
          <w:left w:w="10" w:type="dxa"/>
          <w:right w:w="10" w:type="dxa"/>
        </w:tblCellMar>
        <w:tblLook w:val="0000" w:firstRow="0" w:lastRow="0" w:firstColumn="0" w:lastColumn="0" w:noHBand="0" w:noVBand="0"/>
      </w:tblPr>
      <w:tblGrid>
        <w:gridCol w:w="3125"/>
        <w:gridCol w:w="3125"/>
        <w:gridCol w:w="3125"/>
      </w:tblGrid>
      <w:tr>
        <w:tc>
          <w:tcPr>
            <w:tcW w:w="312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w:t>
            </w:r>
          </w:p>
        </w:tc>
        <w:tc>
          <w:tcPr>
            <w:tcW w:w="312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Аргументи щодо переваги обраної альтернативи/причини відмови від альтернативи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Оцінка ризику зовнішніх чинників на дію запропонованого регуляторного акта</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Відсутність єдиного правового регулювання;
                <w:br/>
                - Неможливість притягнення до відповідальності у зв'язку з вчиненням порушенням;
                <w:br/>
                - відсутність дієвих механізмів контролюз боку органу місцевого самоврядування;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відстутність діючих правил на території всієї ОТГ;
                <w:br/>
                - неузгодженість між Правилами, що діють на території колишніх Фонтанської та Крижанівської сільських рад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дотримання вимог законодавства щодо затвердження органом місцевого самоврядування правил благоустрою території;
                <w:br/>
                – чітке визначення прав і обов’язків суб’єктів у сфері благоустрою;
                <w:br/>
                – розмежування відповідальності між суб’єктами господарювання, населенням та органом місцевого самоврядування;
                <w:br/>
                – наявність єдиного систематизованого нормативно-правового акту, який регулює відносини, що виникають у сфері благоустрою Фонтанської сільської ради, визначає правові, економічні, екологічні, соціальні та організаційні засади благоустрою і спрямований на створення сприятливих умов для життєдіяльності людини;
                <w:br/>
                - дає змогу ширшого застосування статті 152 Кодексу України про адміністративні правопорушення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V. Механізми та заходи, які забезпечать розв'язання визначеної проблеми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Запропоновані механізми регуляторного акта, за допомогою яких можна розв'язати проблему:</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Власники будівель та споруд торговельного, соціально-культурного, спортивного та іншого призначення, розташованих па території об'єкта благоустрою,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та брати пайову участь в утриманні об’єкта благоустрою.</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Порядок розподілу обов'язків між підприємствами, установами та організаціями і громадянами щодо організації утримання належних їм, закріплених та прилеглих територій 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підставі договору.</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На суб'єктів господарювання покладається обов'язок по прибиранню тротуарів та територій, прилеглих до об'єктів благоустрою, торгівлі, ресторанного господарства.</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За порушення Правил благоустрою винні особи притягатимуться до відповідальності в порядку згідно з чинним законодавством, стягуватимуться збитки та суми заподіяної шкоди, які визначатимуться відповідно до чинного законодавства</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Заходи, які мають здійснити органи влади для впровадження цього регуляторного акта:</w:t>
      </w:r>
    </w:p>
    <w:p w:rsidRDefault="0029758D">
      <w:pPr>
        <w:pStyle w:val="Textbody"/>
        <w:numPr>
          <w:ilvl w:val="0"/>
          <w:numId w:val="4"/>
        </w:numPr>
        <w:spacing w:after="0" w:line="360" w:lineRule="auto"/>
        <w:rPr>
          <w:rFonts w:ascii="Times New Roman" w:hAnsi="Times New Roman"/>
          <w:sz w:val="28"/>
          <w:szCs w:val="28"/>
        </w:rPr>
      </w:pPr>
      <w:r>
        <w:rPr>
          <w:rFonts w:ascii="Times New Roman" w:hAnsi="Times New Roman"/>
          <w:sz w:val="28"/>
          <w:szCs w:val="28"/>
        </w:rPr>
        <w:t>провести навчання відповідального персоналу щодо виконання вимог регулювання;</w:t>
      </w:r>
    </w:p>
    <w:p w:rsidRDefault="0029758D">
      <w:pPr>
        <w:pStyle w:val="Textbody"/>
        <w:numPr>
          <w:ilvl w:val="0"/>
          <w:numId w:val="4"/>
        </w:numPr>
        <w:spacing w:after="0" w:line="360" w:lineRule="auto"/>
        <w:rPr>
          <w:rFonts w:ascii="Times New Roman" w:hAnsi="Times New Roman"/>
          <w:sz w:val="28"/>
          <w:szCs w:val="28"/>
        </w:rPr>
      </w:pPr>
      <w:r>
        <w:rPr>
          <w:rFonts w:ascii="Times New Roman" w:hAnsi="Times New Roman"/>
          <w:sz w:val="28"/>
          <w:szCs w:val="28"/>
        </w:rPr>
        <w:t>передбачити у місцевому бюджеті необхідні матеріальні та фінансові ресурси, на виконання вимог регулювання.</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Default="0029758D" w:rsidP="00A619A4">
      <w:pPr>
        <w:pStyle w:val="Textbody"/>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акта (Тест малого підприємництва).</w:t>
      </w:r>
    </w:p>
    <w:p w:rsidRDefault="0029758D">
      <w:pPr>
        <w:pStyle w:val="Textbody"/>
        <w:spacing w:after="0" w:line="360" w:lineRule="auto"/>
        <w:jc w:val="center"/>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r>
        <w:rPr>
          <w:rFonts w:ascii="Times New Roman" w:hAnsi="Times New Roman"/>
          <w:b/>
          <w:bCs/>
          <w:sz w:val="32"/>
          <w:szCs w:val="32"/>
          <w:shd w:val="clear" w:color="auto" w:fill="FFFFFF"/>
        </w:rPr>
        <w:t>VII. Обґрунтування запропонованого строку дії регуляторного акта</w:t>
      </w:r>
    </w:p>
    <w:p w:rsidRDefault="0029758D">
      <w:pPr>
        <w:pStyle w:val="Textbody"/>
        <w:spacing w:after="0" w:line="360" w:lineRule="auto"/>
        <w:jc w:val="both"/>
        <w:rPr>
          <w:rFonts w:ascii="Times New Roman" w:hAnsi="Times New Roman"/>
          <w:b/>
          <w:bCs/>
          <w:sz w:val="28"/>
          <w:szCs w:val="28"/>
        </w:rPr>
      </w:pPr>
      <w:r>
        <w:rPr>
          <w:rFonts w:ascii="Times New Roman" w:hAnsi="Times New Roman"/>
          <w:b/>
          <w:bCs/>
          <w:sz w:val="28"/>
          <w:szCs w:val="28"/>
        </w:rPr>
        <w:t>Запропонований термін дії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безстроково</w:t>
      </w:r>
    </w:p>
    <w:p w:rsidRDefault="0029758D">
      <w:pPr>
        <w:pStyle w:val="Textbody"/>
        <w:spacing w:after="0" w:line="360" w:lineRule="auto"/>
        <w:jc w:val="both"/>
        <w:rPr>
          <w:rFonts w:ascii="Times New Roman" w:hAnsi="Times New Roman"/>
          <w:b/>
          <w:bCs/>
          <w:sz w:val="28"/>
          <w:szCs w:val="28"/>
        </w:rPr>
      </w:pPr>
      <w:r>
        <w:rPr>
          <w:rFonts w:ascii="Times New Roman" w:hAnsi="Times New Roman"/>
          <w:b/>
          <w:bCs/>
          <w:sz w:val="28"/>
          <w:szCs w:val="28"/>
        </w:rPr>
        <w:t>Обґрунтування запропонованого терміну дії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Запрпонованим актом врегульовано відносини, що мають перманентний характер</w:t>
      </w:r>
    </w:p>
    <w:p w:rsidRDefault="00BB4ED7">
      <w:pPr>
        <w:pStyle w:val="Textbody"/>
        <w:spacing w:after="0" w:line="360" w:lineRule="auto"/>
        <w:jc w:val="both"/>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shd w:val="clear" w:color="auto" w:fill="FFFFFF"/>
        </w:rPr>
      </w:pPr>
      <w:r>
        <w:rPr>
          <w:rFonts w:ascii="Times New Roman" w:hAnsi="Times New Roman"/>
          <w:b/>
          <w:bCs/>
          <w:sz w:val="32"/>
          <w:szCs w:val="32"/>
          <w:shd w:val="clear" w:color="auto" w:fill="FFFFFF"/>
        </w:rPr>
        <w:t>VIII. Визначення показників результативності дії регуляторного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9375" w:type="dxa"/>
        <w:tblLayout w:type="fixed"/>
        <w:tblCellMar>
          <w:left w:w="10" w:type="dxa"/>
          <w:right w:w="10" w:type="dxa"/>
        </w:tblCellMar>
        <w:tblLook w:val="0000" w:firstRow="0" w:lastRow="0" w:firstColumn="0" w:lastColumn="0" w:noHBand="0" w:noVBand="0"/>
      </w:tblPr>
      <w:tblGrid>
        <w:gridCol w:w="798"/>
        <w:gridCol w:w="2461"/>
        <w:gridCol w:w="1448"/>
        <w:gridCol w:w="1304"/>
        <w:gridCol w:w="1398"/>
        <w:gridCol w:w="1005"/>
        <w:gridCol w:w="961"/>
      </w:tblGrid>
      <w:tr>
        <w:tc>
          <w:tcPr>
            <w:tcW w:w="7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w:t>
            </w:r>
          </w:p>
        </w:tc>
        <w:tc>
          <w:tcPr>
            <w:tcW w:w="246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Назва показника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Одиниця виміру</w:t>
            </w:r>
          </w:p>
        </w:tc>
        <w:tc>
          <w:tcPr>
            <w:tcW w:w="130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Зараз</w:t>
            </w:r>
          </w:p>
        </w:tc>
        <w:tc>
          <w:tcPr>
            <w:tcW w:w="13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6 місяців</w:t>
            </w:r>
          </w:p>
        </w:tc>
        <w:tc>
          <w:tcPr>
            <w:tcW w:w="10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1 рік</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3 роки</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державного бюджету,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2</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місцевих бюджетів,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цільового фонду,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4</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та/або фізичних осіб, на яких поширюватиметься дія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5</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коштів, що витрачатимуться суб`єктами господарювання та/або фізичними особами, пов`язаними з виконанням вимог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6</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Час, що витрачатиметься суб`єктами господарювання та/або фізичними особами, пов`язаними з виконанням вимог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год.</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7</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Рівень поінформованості суб`єктів господарювання та/або фізичних осіб з основних положень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8</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складених протоколів щодо порушення вимог регуляторного акту</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6</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18</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9</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виданих дозволів на планові порушення об’єктів благоустрою</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5</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15</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виданих дозволів на аварійні порушення об’єктів благоустрою</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2</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4</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12</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11</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Відсоток укладених споживачами  договорів на вивіз ТПВ</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відсоток</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49</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70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r>
    </w:tbl>
    <w:p w:rsidRDefault="00BB4ED7">
      <w:pPr>
        <w:pStyle w:val="Textbody"/>
        <w:spacing w:after="0" w:line="360" w:lineRule="auto"/>
        <w:rPr>
          <w:rFonts w:ascii="Times New Roman" w:hAnsi="Times New Roman"/>
          <w:sz w:val="28"/>
          <w:szCs w:val="28"/>
        </w:rPr>
      </w:pPr>
    </w:p>
    <w:p w:rsidRDefault="0029758D">
      <w:pPr>
        <w:pStyle w:val="Textbody"/>
        <w:shd w:val="clear" w:color="auto" w:fill="FFFFFF"/>
        <w:spacing w:after="0" w:line="360" w:lineRule="auto"/>
        <w:jc w:val="center"/>
        <w:rPr>
          <w:rFonts w:ascii="Times New Roman" w:hAnsi="Times New Roman"/>
          <w:b/>
          <w:bCs/>
          <w:sz w:val="32"/>
          <w:szCs w:val="32"/>
        </w:rPr>
      </w:pPr>
      <w:r>
        <w:rPr>
          <w:rFonts w:ascii="Times New Roman" w:hAnsi="Times New Roman"/>
          <w:b/>
          <w:bCs/>
          <w:sz w:val="32"/>
          <w:szCs w:val="32"/>
        </w:rPr>
        <w:t>IX. Визначення заходів, за допомогою яких здійснюватиметься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Строки проведення базового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Через 3 місяці з дня вступу даного регуляторного акта в силу</w:t>
      </w:r>
    </w:p>
    <w:p w:rsidRDefault="0029758D">
      <w:pPr>
        <w:pStyle w:val="Textbody"/>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Строки проведення повторного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Через 1 рік після набрання актом сили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Метод проведення відстеження результативності:</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Статистичний</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Вид даних, за допомогою яких здійснюватиметься відстеження результативності:</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Статиcтичні</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Цільові групи осіб, що обиратимуться для участі у відповідному опитуванні:</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Наукові установи, що залучатимуться для проведення відстеження:</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sectPr>
      <w:pgSz w:w="11906" w:h="16838"/>
      <w:pgMar w:top="1134" w:right="1121" w:bottom="1134" w:left="141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E" w:rsidRDefault="0044343E">
      <w:pPr>
        <w:spacing w:line="240" w:lineRule="auto"/>
      </w:pPr>
      <w:r>
        <w:separator/>
      </w:r>
    </w:p>
  </w:endnote>
  <w:endnote w:type="continuationSeparator" w:id="0">
    <w:p w:rsidR="0044343E" w:rsidRDefault="00443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E" w:rsidRDefault="0044343E">
      <w:pPr>
        <w:spacing w:line="240" w:lineRule="auto"/>
      </w:pPr>
      <w:r>
        <w:separator/>
      </w:r>
    </w:p>
  </w:footnote>
  <w:footnote w:type="continuationSeparator" w:id="0">
    <w:p w:rsidR="0044343E" w:rsidRDefault="004434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29758D"/>
    <w:rsid w:val="002A39BB"/>
    <w:rsid w:val="0044343E"/>
    <w:rsid w:val="00785567"/>
    <w:rsid w:val="00962DB0"/>
    <w:rsid w:val="00A619A4"/>
    <w:rsid w:val="00BB3693"/>
    <w:rsid w:val="00BB4ED7"/>
    <w:rsid w:val="00C40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opentbs1" Type="http://schemas.openxmlformats.org/officeDocument/2006/relationships/image" Target="media/opentbs_added_0.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3951</Words>
  <Characters>2253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5</cp:revision>
  <dcterms:created xsi:type="dcterms:W3CDTF">2017-07-14T08:42:00Z</dcterms:created>
  <dcterms:modified xsi:type="dcterms:W3CDTF">2018-01-30T09:08:00Z</dcterms:modified>
</cp:coreProperties>
</file>