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29758D">
      <w:pPr>
        <w:pStyle w:val="Textbody"/>
        <w:spacing w:after="0" w:line="360" w:lineRule="auto"/>
        <w:jc w:val="center"/>
        <w:rPr>
          <w:rFonts w:ascii="Times New Roman" w:hAnsi="Times New Roman"/>
          <w:b/>
          <w:bCs/>
          <w:color w:val="auto"/>
          <w:sz w:val="32"/>
          <w:szCs w:val="32"/>
        </w:rPr>
      </w:pPr>
      <w:r>
        <w:rPr>
          <w:rFonts w:ascii="Times New Roman" w:hAnsi="Times New Roman"/>
          <w:b/>
          <w:bCs/>
          <w:color w:val="auto"/>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60840</wp:posOffset>
            </wp:positionV>
            <wp:extent cx="720000" cy="720000"/>
            <wp:effectExtent l="0" t="0" r="4445" b="4445"/>
            <wp:wrapTopAndBottom/>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opentbs1">
                      <a:lum/>
                      <a:alphaModFix/>
                    </a:blip>
                    <a:srcRect/>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auto"/>
          <w:sz w:val="32"/>
          <w:szCs w:val="32"/>
        </w:rPr>
        <w:t>АНАЛІЗ РЕГУЛЯТОРНОГО ВПЛИВУ</w:t>
      </w:r>
    </w:p>
    <w:p w:rsidRDefault="0029758D">
      <w:pPr>
        <w:pStyle w:val="Textbody"/>
        <w:spacing w:after="0" w:line="360" w:lineRule="auto"/>
        <w:jc w:val="center"/>
        <w:rPr>
          <w:rFonts w:ascii="Times New Roman" w:hAnsi="Times New Roman"/>
          <w:b/>
          <w:bCs/>
          <w:sz w:val="28"/>
          <w:szCs w:val="28"/>
        </w:rPr>
      </w:pPr>
      <w:r>
        <w:rPr>
          <w:rFonts w:ascii="Times New Roman" w:hAnsi="Times New Roman"/>
          <w:b/>
          <w:bCs/>
          <w:sz w:val="28"/>
          <w:szCs w:val="28"/>
        </w:rPr>
        <w:t>проекту рішення Фонтанської сільської ради Одеського району Одеської області "Про затвердження правил утримання домашніх тварин на території Фонтанської сільської ради Одеського району Одеської області" </w:t>
      </w: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І. Визначення проблеми</w:t>
      </w:r>
    </w:p>
    <w:p w:rsidRDefault="0029758D">
      <w:pPr>
        <w:pStyle w:val="Textbody"/>
        <w:spacing w:after="0" w:line="360" w:lineRule="auto"/>
        <w:rPr>
          <w:rFonts w:ascii="Times New Roman" w:hAnsi="Times New Roman"/>
          <w:sz w:val="28"/>
          <w:szCs w:val="28"/>
        </w:rPr>
      </w:pPr>
      <w:r>
        <w:rPr>
          <w:rFonts w:ascii="Times New Roman" w:hAnsi="Times New Roman"/>
          <w:b/>
          <w:bCs/>
          <w:sz w:val="28"/>
          <w:szCs w:val="28"/>
        </w:rPr>
        <w:t>Проблема</w:t>
      </w:r>
      <w:r>
        <w:rPr>
          <w:rFonts w:ascii="Times New Roman" w:hAnsi="Times New Roman"/>
          <w:b/>
          <w:bCs/>
          <w:sz w:val="28"/>
          <w:szCs w:val="28"/>
          <w:shd w:val="clear" w:color="auto" w:fill="FFFFFF"/>
        </w:rPr>
        <w:t>, яку передбачається розв'язати шляхом державного регулювання:</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На сьогодні у Фонтанській сільській раді існують проблеми, пов’язані з неналежним утриманням домашніх та безпритульних тварин. Має місце безконтрольне знаходження домашніх собак за межами помешкання власників, без супроводу власника, без повідка та намордника, в тому числі собак потенційно небезпечних порід, що призводить до нападів собак на людей та інших тварин. 
          <w:br/>
          Неконтрольоване розмноження безпритульних тварин призводить до погіршення епідеміологічної ситуації у громаді, може сприяти виникненню епізоотій, створює загрози для мешканців та гостей громади.
          <w:br/>
          Дана проблема поширюється в межах громади та впливає на всіх її членів, як тих, що мають домашніх тварин, так і тих що їх не мають, але можуть їх зустріти в громадських місцях.
          <w:br/>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Причини виникнення проблеми:</w:t>
      </w:r>
    </w:p>
    <w:p w:rsidRDefault="0029758D" w:rsidP="00A619A4">
      <w:pPr>
        <w:pStyle w:val="Textbody"/>
        <w:numPr>
          <w:ilvl w:val="0"/>
          <w:numId w:val="1"/>
        </w:numPr>
        <w:spacing w:after="0" w:line="360" w:lineRule="auto"/>
        <w:jc w:val="both"/>
        <w:rPr>
          <w:rFonts w:ascii="Times New Roman" w:hAnsi="Times New Roman"/>
          <w:sz w:val="28"/>
          <w:szCs w:val="28"/>
        </w:rPr>
      </w:pPr>
      <w:r>
        <w:rPr>
          <w:rFonts w:ascii="Times New Roman" w:hAnsi="Times New Roman"/>
          <w:sz w:val="28"/>
          <w:szCs w:val="28"/>
        </w:rPr>
        <w:t>Відповідно до пункту 2 статті 9 Закону України «Про захист тварин від жорстокого поводження» правила утримання домашніх тварин встановлюються органами місцевого самоврядування.   Але на місцевому рівні відсутній нормативний документ, який визначає правила утримання тварин на території Фонтанської сільської ради.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Підтвердження важливості проблеми:</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Проект регуляторного акта підготовлений з метою урегулювання правових
          <w:br/>
          відносин, які виникають між міською радою та фізичними особами,
          <w:br/>
          юридичними особами, громадськими формуваннями у зв’язку з утриманням
          <w:br/>
          домашніх та інших тварин і поводженням з ними (в тому числі торгівля
          <w:br/>
          тваринами, розведення чи утримання тварин для комерційних цілей або
          <w:br/>
          діяльність притулків для тварин), а також недопущенням збільшення їх
          <w:br/>
          популяції внаслідок неконтрольованого розмноження домашніх тварин,
          <w:br/>
          приплід від якого опиняється на території міста.
          <w:br/>
        </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Показники існування та масштабу проблеми</w:t>
      </w:r>
    </w:p>
    <w:tbl>
      <w:tblPr>
        <w:tblW w:w="9375" w:type="dxa"/>
        <w:tblLayout w:type="fixed"/>
        <w:tblCellMar>
          <w:left w:w="10" w:type="dxa"/>
          <w:right w:w="10" w:type="dxa"/>
        </w:tblCellMar>
        <w:tblLook w:val="0000" w:firstRow="0" w:lastRow="0" w:firstColumn="0" w:lastColumn="0" w:noHBand="0" w:noVBand="0"/>
      </w:tblPr>
      <w:tblGrid>
        <w:gridCol w:w="2436"/>
        <w:gridCol w:w="2363"/>
        <w:gridCol w:w="2377"/>
        <w:gridCol w:w="2199"/>
      </w:tblGrid>
      <w:tr>
        <w:tc>
          <w:tcPr>
            <w:tcW w:w="24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Назва показника</w:t>
            </w:r>
          </w:p>
        </w:tc>
        <w:tc>
          <w:tcPr>
            <w:tcW w:w="23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Одиниця виміру</w:t>
            </w:r>
          </w:p>
        </w:tc>
        <w:tc>
          <w:tcPr>
            <w:tcW w:w="237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Значення</w:t>
            </w:r>
          </w:p>
        </w:tc>
        <w:tc>
          <w:tcPr>
            <w:tcW w:w="21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Джерело даних</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зареєстрованих собак</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одиниць</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щеплених та стерілізованих собак</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одиниць</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випадків укусів собаками людей</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одиниць</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bl>
    <w:p w:rsidRDefault="00BB4ED7">
      <w:pPr>
        <w:pStyle w:val="Textbody"/>
        <w:spacing w:after="0" w:line="360" w:lineRule="auto"/>
        <w:rPr>
          <w:rFonts w:ascii="Times New Roman" w:hAnsi="Times New Roman"/>
          <w:sz w:val="28"/>
          <w:szCs w:val="28"/>
          <w:shd w:val="clear" w:color="auto" w:fill="FFFFFF"/>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shd w:val="clear" w:color="auto" w:fill="FFFFFF"/>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Ні</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Суб’єкти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у тому числі суб’єкти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Обґрунтування неможливості вирішення проблеми за допомогою ринкових механізмів:</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Дана проблема не може бути розв’язана за допомогою ринкових механізмів, оскільки повноваження щодо врегулювання вказаних відносин відносяться до виключої компетенції
          <w:br/>
          органів місцевого самоврядування.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Обґрунтування неможливості вирішення проблеми за допомогою діючих регуляторних актів:</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Діючі правила утримання утримання домашніх тварин на території Фонтанської сільської ради відсутні</w:t>
      </w:r>
    </w:p>
    <w:p w:rsidRDefault="00BB4ED7">
      <w:pPr>
        <w:pStyle w:val="Textbody"/>
        <w:spacing w:after="0" w:line="360" w:lineRule="auto"/>
        <w:jc w:val="center"/>
        <w:rPr>
          <w:rFonts w:ascii="Times New Roman" w:hAnsi="Times New Roman"/>
          <w:b/>
          <w:bCs/>
          <w:sz w:val="32"/>
          <w:szCs w:val="32"/>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ІІ. Цілі державного регулювання</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Цілі державного регулювання, безпосередньо пов'язані з розв'язанням проблеми: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
          вирішення проблеми безконтрольного розпліднення тварин на території
          <w:br/>
          сільської ради
        </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поліпшення санітарного стану території сільської ради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
          створення більш комфортних умов для життя мешканців міста та
          <w:br/>
          гуманного середовища для існуючих тварин через значне зменшення
          <w:br/>
          безпритульних тварин гуманними методами
        </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посилення відповідальності власників тварин за їх утримання</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встановлення належного контролю за утриманням тварин</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вжиття заходів з охорони тваринного світу</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III. Визначення та оцінка альтернативних способів досягнення цілей</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1. Визначення альтернативних способів</w:t>
      </w:r>
    </w:p>
    <w:tbl>
      <w:tblPr>
        <w:tblW w:w="9375" w:type="dxa"/>
        <w:tblLayout w:type="fixed"/>
        <w:tblCellMar>
          <w:left w:w="10" w:type="dxa"/>
          <w:right w:w="10" w:type="dxa"/>
        </w:tblCellMar>
        <w:tblLook w:val="0000" w:firstRow="0" w:lastRow="0" w:firstColumn="0" w:lastColumn="0" w:noHBand="0" w:noVBand="0"/>
      </w:tblPr>
      <w:tblGrid>
        <w:gridCol w:w="4686"/>
        <w:gridCol w:w="4689"/>
      </w:tblGrid>
      <w:tr>
        <w:tc>
          <w:tcPr>
            <w:tcW w:w="468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46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Опис альтернативи</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На теперішній час відносини регулюються Правилами  утримання домашніх тварин та птиці на території Фонтанської сільської  ради, затверджені рішенням Фонтанської сільської ради від 01.11.2013 № №639 -VI, прийнятими до об'єднання сільських рад у територіальну громаду та на підставі Закону України «Про захист тварин від жорстокого поводження».
                <w:br/>
                Ця альтернатива є неприйнятною насамперед через те, що діючі правила є застарілими та не діють на території всєї ОТГ. 
                <w:br/>
                Також на законодавчому рівні немає детального опису проведення реєстрації, не визначені особливості утримання, не  визначений орган, який проводить реєстрацію домашніх та інших тварин, що не дає змоги в разі втрати тварини знайти її власника та повернути тварину, а це в свою чергу веде до збільшення чисельності безпритульних тварин. 
              </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Для врегулювання відносин утримання домашніх тварин керуватись Правилами благоустрою на території Фонтанської сільської ради</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Прийняття рішення Фонтанської сільської ради "Про затвердження правил утримання домашніх тварин"</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2. Оцінка вибраних альтернативних способів досягнення цілей</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держави</w:t>
      </w: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tc>
          <w:tcPr>
            <w:tcW w:w="313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 збільшення безпритульних
                <w:br/>
                тварин на вулицях населених пунктів сільської ради, що
                <w:br/>
                призведе до збільшення витрат на 
                <w:br/>
                їх стерилізацію та щеплення від
                <w:br/>
                сказу;
                <w:br/>
                - погіршення санітарного,
                <w:br/>
                екологічного та епізоотичного
                <w:br/>
                стану території ради;
                <w:br/>
                - загублені тварини будуть
                <w:br/>
                залишені на вулицях
              </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Не потребує прийняття додаткових нормативних актів</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Відсутність механізмів дієвого впливу на порушення санітарних та епідеміологічних норм власниками домашніх тварин,  що негативно відбивається на іміджі влади та спричиняє моральну шкоду жителям міста.</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 покращення санітарного,
                <w:br/>
                екологічного та епізоотичного
                <w:br/>
                стану території міста Дніпра;
                <w:br/>
                - зменшення безпритульних
                <w:br/>
                тварин на вулицях населених пунктів сільської ради, що
                <w:br/>
                призведе до зменшення
                <w:br/>
                витрат на їх стерилізацію та
                <w:br/>
                щеплення від сказу, а також
                <w:br/>
                на медичне лікування
                <w:br/>
                постраждалих осіб від укусів
                <w:br/>
                безпритульних тварин;
                <w:br/>
                - вплив на злочинність:
                <w:br/>
                попередження жорстокого
                <w:br/>
                поводження з тваринами;
                <w:br/>
                - загублені тварини не будуть
                <w:br/>
                залишені на вулицях, а будуть
                <w:br/>
                повернуті їх власникам
                <w:br/>
                - припинення незаконної
                <w:br/>
                торгівлі тваринами (в тому
                <w:br/>
                Витрати часу, матеріальних
                <w:br/>
                ресурсів для:
                <w:br/>
                - зменшення навантаження на
                <w:br/>
                органи Національної поліції
                <w:br/>
                України щодо здійснення
                <w:br/>
                розшуку власників загублених
                <w:br/>
                тварин;
              </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Витрати часу, матеріальних
                <w:br/>
                ресурсів для:
                <w:br/>
                - підготовки регуляторного акту
                <w:br/>
                та забезпечення виконання його
                <w:br/>
                вимог;
                <w:br/>
                - проведення процедур з
                <w:br/>
                відстеження результативності 
                <w:br/>
                дії РА;
                <w:br/>
                - здійснення моніторингу за
                <w:br/>
                дотриманням вимог
                <w:br/>
                вищевказаних рішень органами
                <w:br/>
                Національної поліції України
                <w:br/>
                щодо виконання правил та
                <w:br/>
                притягнення до відповідальності
                <w:br/>
                відповідно до КУпАП та КК
                <w:br/>
                України;
                <w:br/>
              </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 Витрати на здійснення щеплення
                <w:br/>
                від сказу – 200,00грн;
                <w:br/>
                - Витрати на отримання жетону –
                <w:br/>
                100,00грн
                <w:br/>
                - витрати на стерилізацію тварин
                <w:br/>
                – 500,00грн
                <w:br/>
                - витрати на лікування (щеплення)
                <w:br/>
                від сказу в разі укусу тварини
                <w:br/>
                (курс коштує 30000,00грн)
              </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Мінімізація адміністративного регулювання відносин</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Часткове регулювання відносин щодо утримання домашніх тварин.
                <w:br/>
                Відсутність єдиних правил для всіх мешканців громади створює передумови для можливих порушень прав фізичних та юридичних осіб та відсутність дієвих механізмів для їх поновлення
              </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 забезпечення безпеки життя та здоров’я мешканців громади;
                <w:br/>
                - виховання гуманного ставлення до тварин шляхом формування високого рівня етичної свідомості та культури громадян;
                <w:br/>
                - покращення санітарно-епідеміологічного стану міста;
                <w:br/>
                - вирішення проблемних питань і конфліктних ситуацій пов’язаних з утриманням домашніх тварин
                <w:br/>
              </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Можливі витрати пов'язані із реєстрацією та вакцинацією тварин</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суб'єктів господарювання</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1</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2</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3</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3"/>
        <w:gridCol w:w="1263"/>
        <w:gridCol w:w="1240"/>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4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4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tbl>
      <w:tblPr>
        <w:tblW w:w="9375" w:type="dxa"/>
        <w:tblLayout w:type="fixed"/>
        <w:tblCellMar>
          <w:left w:w="10" w:type="dxa"/>
          <w:right w:w="10" w:type="dxa"/>
        </w:tblCellMar>
        <w:tblLook w:val="0000" w:firstRow="0" w:lastRow="0" w:firstColumn="0" w:lastColumn="0" w:noHBand="0" w:noVBand="0"/>
      </w:tblPr>
      <w:tblGrid>
        <w:gridCol w:w="3131"/>
        <w:gridCol w:w="3114"/>
        <w:gridCol w:w="3130"/>
      </w:tblGrid>
      <w:tr>
        <w:tc>
          <w:tcPr>
            <w:tcW w:w="313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Мінімізація адміністративного регулювання відносин</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Часткове регулювання відносин щодо утримання домашніх тварин.
                <w:br/>
                Відсутність єдиних правил для всіх мешканців громади створює передумови для можливих порушень прав фізичних та юридичних осіб та відсутність дієвих механізмів для їх поновлення
              </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 зміни споживчого вибору –
                <w:br/>
                власники (утримувачі) тварин
                <w:br/>
                матимуть право вибору
                <w:br/>
                ветеринарної установи для
                <w:br/>
                здійснення реєстрації та
                <w:br/>
                вакцинації;
                <w:br/>
                -  покращення
                <w:br/>
                санітарного, екологічного та
                <w:br/>
                епізоотичного стану на
                <w:br/>
                території підприємства, а
                <w:br/>
                також можливість уникнути
                <w:br/>
                небезпечного для здоров’я
                <w:br/>
                щеплення від сказу в разі
                <w:br/>
                укусу твариною;
                <w:br/>
                - можливість контролювати
                <w:br/>
                чисельність тварин та стан
                <w:br/>
                здоров’я гуманними методами
                <w:br/>
                та без порушень
                <w:br/>
                законодавства та моральних
                <w:br/>
                норм суспільства
                <w:br/>
                (стерилізувати замість
                <w:br/>
                отруєння)
                <w:br/>
              </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Можливі витрати пов'язані із реєстрацією та вакцинацією тварин</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сумарних витрат за альтернативами</w:t>
      </w:r>
    </w:p>
    <w:tbl>
      <w:tblPr>
        <w:tblW w:w="9375" w:type="dxa"/>
        <w:tblLayout w:type="fixed"/>
        <w:tblCellMar>
          <w:left w:w="10" w:type="dxa"/>
          <w:right w:w="10" w:type="dxa"/>
        </w:tblCellMar>
        <w:tblLook w:val="0000" w:firstRow="0" w:lastRow="0" w:firstColumn="0" w:lastColumn="0" w:noHBand="0" w:noVBand="0"/>
      </w:tblPr>
      <w:tblGrid>
        <w:gridCol w:w="4688"/>
        <w:gridCol w:w="4687"/>
      </w:tblGrid>
      <w:tr>
        <w:tc>
          <w:tcPr>
            <w:tcW w:w="468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Сумарні витрати за альтернативами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Сума витрат, гривень</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IV. Вибір найбільш оптимального альтернативного способу досягнення цілей</w:t>
      </w:r>
    </w:p>
    <w:tbl>
      <w:tblPr>
        <w:tblW w:w="9375" w:type="dxa"/>
        <w:tblLayout w:type="fixed"/>
        <w:tblCellMar>
          <w:left w:w="10" w:type="dxa"/>
          <w:right w:w="10" w:type="dxa"/>
        </w:tblCellMar>
        <w:tblLook w:val="0000" w:firstRow="0" w:lastRow="0" w:firstColumn="0" w:lastColumn="0" w:noHBand="0" w:noVBand="0"/>
      </w:tblPr>
      <w:tblGrid>
        <w:gridCol w:w="3644"/>
        <w:gridCol w:w="3105"/>
        <w:gridCol w:w="2626"/>
      </w:tblGrid>
      <w:tr>
        <w:tc>
          <w:tcPr>
            <w:tcW w:w="364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 результативності (досягнення цілей під час вирішення проблеми)</w:t>
            </w:r>
          </w:p>
        </w:tc>
        <w:tc>
          <w:tcPr>
            <w:tcW w:w="31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Бал результативності (за чотирибальною системою оцінки)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Коментарі щодо присвоєння відповідного бала</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1 - цілі прийняття регуляторного акта не можуть бути досягнуті (проблема продовжує існувати)</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Такий підхід лише заглиблює проблему і жодним шляхом не сприяє її рішенню, а саме призведе до: збільшення кількості безпритульних тварин внаслідок їх неконтрольованого розмноження власниками (утримувачами) та викидання приплоду на вулицях населених пунктів сільської ради; збільшення кількості випадків нападу на людей тварин; з’явлення звернень до суду з боку мешканців, постраждалих від нападу тварин; погіршення епідеміологічного стану у  сільській раді</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Проблема вирішується частково лише щодо питань, які пов'язані із благоустроєм населених пунктів. Відсутні механізми притягнення до відповідальності власників за неналежне утримання тварин.</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4 - цілі прийняття регуляторного акта можуть бути досягнуті повною мірою (проблема більше існувати не буде)</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Запрпоновований варіант вирішення проблеми є айбільш прийнятним оскільки спрямований на комплексне врегулювання усього спектру питань поводження із домашніми тваринами.
                <w:br/>
                Не всі вигоди, які виникають внаслідок дії цього регуляторного акта,
                <w:br/>
                можуть бути визначені кількісно. Серед них є такі, які не можливо визначити
                <w:br/>
                кількісно, але вони найголовніші це – створення безпечних умов для здоров’я,
                <w:br/>
                життя та діяльності мешканців міста, покращення санітарно-епідеміологічного
                <w:br/>
                та епізоотичного стану громади, виховання гуманного ставлення до тварин.
                <w:br/>
              </w:t>
            </w:r>
          </w:p>
        </w:tc>
      </w:tr>
    </w:tbl>
    <w:p w:rsidRDefault="00BB4ED7">
      <w:pPr>
        <w:pStyle w:val="Textbody"/>
        <w:spacing w:after="0" w:line="360" w:lineRule="auto"/>
        <w:rPr>
          <w:rFonts w:ascii="Times New Roman" w:hAnsi="Times New Roman"/>
          <w:sz w:val="28"/>
          <w:szCs w:val="28"/>
        </w:rPr>
      </w:pPr>
    </w:p>
    <w:tbl>
      <w:tblPr>
        <w:tblW w:w="9375" w:type="dxa"/>
        <w:tblLayout w:type="fixed"/>
        <w:tblCellMar>
          <w:left w:w="10" w:type="dxa"/>
          <w:right w:w="10" w:type="dxa"/>
        </w:tblCellMar>
        <w:tblLook w:val="0000" w:firstRow="0" w:lastRow="0" w:firstColumn="0" w:lastColumn="0" w:noHBand="0" w:noVBand="0"/>
      </w:tblPr>
      <w:tblGrid>
        <w:gridCol w:w="1808"/>
        <w:gridCol w:w="2467"/>
        <w:gridCol w:w="2809"/>
        <w:gridCol w:w="2291"/>
      </w:tblGrid>
      <w:tr>
        <w:tc>
          <w:tcPr>
            <w:tcW w:w="180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 результативності</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Обґрунтування відповідного місця альтернативи у рейтингу</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 збільшення безпритульних
                <w:br/>
                тварин на вулицях населених пунктів сільської ради, що
                <w:br/>
                призведе до збільшення витрат на 
                <w:br/>
                їх стерилізацію та щеплення від
                <w:br/>
                сказу;
                <w:br/>
                - погіршення санітарного,
                <w:br/>
                екологічного та епізоотичного
                <w:br/>
                стану території ради;
                <w:br/>
                - загублені тварини будуть
                <w:br/>
                залишені на вулицях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 Витрати на здійснення щеплення
                <w:br/>
                від сказу – 200,00грн;
                <w:br/>
                - Витрати на отримання жетону –
                <w:br/>
                100,00грн
                <w:br/>
                - витрати на стерилізацію тварин
                <w:br/>
                – 500,00грн
                <w:br/>
                - витрати на лікування (щеплення)
                <w:br/>
                від сказу в разі укусу тварини
                <w:br/>
                (курс коштує 30000,00грн)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відсутні</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Існуюча ситуація не вирішує питання правового регулювання щодо утримання домашніх тварин на території ОТГ</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 покращення санітарного,
                <w:br/>
                екологічного та епізоотичного
                <w:br/>
                стану території міста Дніпра;
                <w:br/>
                - зменшення безпритульних
                <w:br/>
                тварин на вулицях населених пунктів сільської ради, що
                <w:br/>
                призведе до зменшення
                <w:br/>
                витрат на їх стерилізацію та
                <w:br/>
                щеплення від сказу, а також
                <w:br/>
                на медичне лікування
                <w:br/>
                постраждалих осіб від укусів
                <w:br/>
                безпритульних тварин;
                <w:br/>
                - вплив на злочинність:
                <w:br/>
                попередження жорстокого
                <w:br/>
                поводження з тваринами;
                <w:br/>
                - загублені тварини не будуть
                <w:br/>
                залишені на вулицях, а будуть
                <w:br/>
                повернуті їх власникам
                <w:br/>
                - припинення незаконної
                <w:br/>
                торгівлі тваринами (в тому
                <w:br/>
                Витрати часу, матеріальних
                <w:br/>
                ресурсів для:
                <w:br/>
                - зменшення навантаження на
                <w:br/>
                органи Національної поліції
                <w:br/>
                України щодо здійснення
                <w:br/>
                розшуку власників загублених
                <w:br/>
                тварин;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 забезпечення безпеки життя та здоров’я мешканців громади;
                <w:br/>
                - виховання гуманного ставлення до тварин шляхом формування високого рівня етичної свідомості та культури громадян;
                <w:br/>
                - покращення санітарно-епідеміологічного стану міста;
                <w:br/>
                - вирішення проблемних питань і конфліктних ситуацій пов’язаних з утриманням домашніх тварин
                <w:br/>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 зміни споживчого вибору –
                <w:br/>
                власники (утримувачі) тварин
                <w:br/>
                матимуть право вибору
                <w:br/>
                ветеринарної установи для
                <w:br/>
                здійснення реєстрації та
                <w:br/>
                вакцинації;
                <w:br/>
                -  покращення
                <w:br/>
                санітарного, екологічного та
                <w:br/>
                епізоотичного стану на
                <w:br/>
                території підприємства, а
                <w:br/>
                також можливість уникнути
                <w:br/>
                небезпечного для здоров’я
                <w:br/>
                щеплення від сказу в разі
                <w:br/>
                укусу твариною;
                <w:br/>
                - можливість контролювати
                <w:br/>
                чисельність тварин та стан
                <w:br/>
                здоров’я гуманними методами
                <w:br/>
                та без порушень
                <w:br/>
                законодавства та моральних
                <w:br/>
                норм суспільства
                <w:br/>
                (стерилізувати замість
                <w:br/>
                отруєння)
                <w:br/>
              </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Витрати часу, матеріальних
                <w:br/>
                ресурсів для:
                <w:br/>
                - підготовки регуляторного акту
                <w:br/>
                та забезпечення виконання його
                <w:br/>
                вимог;
                <w:br/>
                - проведення процедур з
                <w:br/>
                відстеження результативності 
                <w:br/>
                дії РА;
                <w:br/>
                - здійснення моніторингу за
                <w:br/>
                дотриманням вимог
                <w:br/>
                вищевказаних рішень органами
                <w:br/>
                Національної поліції України
                <w:br/>
                щодо виконання правил та
                <w:br/>
                притягнення до відповідальності
                <w:br/>
                відповідно до КУпАП та КК
                <w:br/>
                України;
                <w:br/>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Можливі витрати пов'язані із реєстрацією та вакцинацією тварин</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Можливі витрати пов'язані із реєстрацією та вакцинацією тварин</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Прийняття РА забезпечить комплексне вирішення питань, пов'язаних з утриманням домашніх тварин на території громади</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Не потребує прийняття додаткових нормативних актів</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Мінімізація адміністративного регулювання відносин</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Мінімізація адміністративного регулювання відносин</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Відсутність механізмів дієвого впливу на порушення санітарних та епідеміологічних норм власниками домашніх тварин,  що негативно відбивається на іміджі влади та спричиняє моральну шкоду жителям міста.</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Часткове регулювання відносин щодо утримання домашніх тварин.
                <w:br/>
                Відсутність єдиних правил для всіх мешканців громади створює передумови для можливих порушень прав фізичних та юридичних осіб та відсутність дієвих механізмів для їх поновлення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Часткове регулювання відносин щодо утримання домашніх тварин.
                <w:br/>
                Відсутність єдиних правил для всіх мешканців громади створює передумови для можливих порушень прав фізичних та юридичних осіб та відсутність дієвих механізмів для їх поновлення
              </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Застосування Правил благоустрою лише частково вирішить проблемні питання</w:t>
            </w:r>
          </w:p>
        </w:tc>
      </w:tr>
    </w:tbl>
    <w:p w:rsidRDefault="00BB4ED7">
      <w:pPr>
        <w:pStyle w:val="Textbody"/>
        <w:spacing w:after="0" w:line="360" w:lineRule="auto"/>
        <w:rPr>
          <w:rFonts w:ascii="Times New Roman" w:hAnsi="Times New Roman"/>
          <w:sz w:val="28"/>
          <w:szCs w:val="28"/>
        </w:rPr>
      </w:pPr>
    </w:p>
    <w:tbl>
      <w:tblPr>
        <w:tblW w:w="9375" w:type="dxa"/>
        <w:tblLayout w:type="fixed"/>
        <w:tblCellMar>
          <w:left w:w="10" w:type="dxa"/>
          <w:right w:w="10" w:type="dxa"/>
        </w:tblCellMar>
        <w:tblLook w:val="0000" w:firstRow="0" w:lastRow="0" w:firstColumn="0" w:lastColumn="0" w:noHBand="0" w:noVBand="0"/>
      </w:tblPr>
      <w:tblGrid>
        <w:gridCol w:w="3125"/>
        <w:gridCol w:w="3125"/>
        <w:gridCol w:w="3125"/>
      </w:tblGrid>
      <w:tr>
        <w:tc>
          <w:tcPr>
            <w:tcW w:w="312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w:t>
            </w:r>
          </w:p>
        </w:tc>
        <w:tc>
          <w:tcPr>
            <w:tcW w:w="312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Аргументи щодо переваги обраної альтернативи/причини відмови від альтернативи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Оцінка ризику зовнішніх чинників на дію запропонованого регуляторного акта</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відстутність діючих правил на території всієї ОТГ;
                <w:br/>
                - більшість проблемних питань на законодавчому рівні не вирішено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Очікуваними результатами прийняття запропонованого рішення буде:
                <w:br/>
                - забезпечення безпеки мешканців;
                <w:br/>
                - врегулювання відносин між власниками тварин та органами місцевого самоврядування;
                <w:br/>
                - покращання санітарно-епідемічного стану населених пунктів; 
                <w:br/>
                - посилення відповідальності власників тварин та птиці щодо їх утримання;
                <w:br/>
                - виховання гуманного ставлення до тварин.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Відсутність єдиного правового регулювання;
                <w:br/>
                - Неможливість притягнення до відповідальності у зв'язку з вчиненням порушенням;
                <w:br/>
                - відсутність дієвих механізмів контролюз боку органу місцевого самоврядування;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V. Механізми та заходи, які забезпечать розв'язання визначеної проблеми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Запропоновані механізми регуляторного акта, за допомогою яких можна розв'язати проблему:</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визначення порядку реєстрації домашніх та безпритульних тварин</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визначення умов утримання домашніх тварин</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визначення порядку вилову та тимчасової ізоляції безпритульних тварин</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проведення стерилізації домашніх та безпритульних тварин</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встановлення особливостей вигулу домашніх тварин</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Заходи, які мають здійснити органи влади для впровадження цього регуляторного акта:</w:t>
      </w:r>
    </w:p>
    <w:p w:rsidRDefault="0029758D">
      <w:pPr>
        <w:pStyle w:val="Textbody"/>
        <w:numPr>
          <w:ilvl w:val="0"/>
          <w:numId w:val="4"/>
        </w:numPr>
        <w:spacing w:after="0" w:line="360" w:lineRule="auto"/>
        <w:rPr>
          <w:rFonts w:ascii="Times New Roman" w:hAnsi="Times New Roman"/>
          <w:sz w:val="28"/>
          <w:szCs w:val="28"/>
        </w:rPr>
      </w:pPr>
      <w:r>
        <w:rPr>
          <w:rFonts w:ascii="Times New Roman" w:hAnsi="Times New Roman"/>
          <w:sz w:val="28"/>
          <w:szCs w:val="28"/>
        </w:rPr>
        <w:t>провести навчання відповідального персоналу щодо виконання вимог регулювання</w:t>
      </w:r>
    </w:p>
    <w:p w:rsidRDefault="0029758D">
      <w:pPr>
        <w:pStyle w:val="Textbody"/>
        <w:numPr>
          <w:ilvl w:val="0"/>
          <w:numId w:val="4"/>
        </w:numPr>
        <w:spacing w:after="0" w:line="360" w:lineRule="auto"/>
        <w:rPr>
          <w:rFonts w:ascii="Times New Roman" w:hAnsi="Times New Roman"/>
          <w:sz w:val="28"/>
          <w:szCs w:val="28"/>
        </w:rPr>
      </w:pPr>
      <w:r>
        <w:rPr>
          <w:rFonts w:ascii="Times New Roman" w:hAnsi="Times New Roman"/>
          <w:sz w:val="28"/>
          <w:szCs w:val="28"/>
        </w:rPr>
        <w:t>передбачити у місцевому бюджеті необхідні матеріальні та фінансові ресурси, на виконання вимог регулювання</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Default="0029758D" w:rsidP="00A619A4">
      <w:pPr>
        <w:pStyle w:val="Textbody"/>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акта (Тест малого підприємництва).</w:t>
      </w:r>
    </w:p>
    <w:p w:rsidRDefault="0029758D">
      <w:pPr>
        <w:pStyle w:val="Textbody"/>
        <w:spacing w:after="0" w:line="360" w:lineRule="auto"/>
        <w:jc w:val="center"/>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r>
        <w:rPr>
          <w:rFonts w:ascii="Times New Roman" w:hAnsi="Times New Roman"/>
          <w:b/>
          <w:bCs/>
          <w:sz w:val="32"/>
          <w:szCs w:val="32"/>
          <w:shd w:val="clear" w:color="auto" w:fill="FFFFFF"/>
        </w:rPr>
        <w:t>VII. Обґрунтування запропонованого строку дії регуляторного акта</w:t>
      </w:r>
    </w:p>
    <w:p w:rsidRDefault="0029758D">
      <w:pPr>
        <w:pStyle w:val="Textbody"/>
        <w:spacing w:after="0" w:line="360" w:lineRule="auto"/>
        <w:jc w:val="both"/>
        <w:rPr>
          <w:rFonts w:ascii="Times New Roman" w:hAnsi="Times New Roman"/>
          <w:b/>
          <w:bCs/>
          <w:sz w:val="28"/>
          <w:szCs w:val="28"/>
        </w:rPr>
      </w:pPr>
      <w:r>
        <w:rPr>
          <w:rFonts w:ascii="Times New Roman" w:hAnsi="Times New Roman"/>
          <w:b/>
          <w:bCs/>
          <w:sz w:val="28"/>
          <w:szCs w:val="28"/>
        </w:rPr>
        <w:t>Запропонований термін дії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безстроково</w:t>
      </w:r>
    </w:p>
    <w:p w:rsidRDefault="0029758D">
      <w:pPr>
        <w:pStyle w:val="Textbody"/>
        <w:spacing w:after="0" w:line="360" w:lineRule="auto"/>
        <w:jc w:val="both"/>
        <w:rPr>
          <w:rFonts w:ascii="Times New Roman" w:hAnsi="Times New Roman"/>
          <w:b/>
          <w:bCs/>
          <w:sz w:val="28"/>
          <w:szCs w:val="28"/>
        </w:rPr>
      </w:pPr>
      <w:r>
        <w:rPr>
          <w:rFonts w:ascii="Times New Roman" w:hAnsi="Times New Roman"/>
          <w:b/>
          <w:bCs/>
          <w:sz w:val="28"/>
          <w:szCs w:val="28"/>
        </w:rPr>
        <w:t>Обґрунтування запропонованого терміну дії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Запрпонованим актом врегульовано відносини, що мають перманентний характер</w:t>
      </w:r>
    </w:p>
    <w:p w:rsidRDefault="00BB4ED7">
      <w:pPr>
        <w:pStyle w:val="Textbody"/>
        <w:spacing w:after="0" w:line="360" w:lineRule="auto"/>
        <w:jc w:val="both"/>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shd w:val="clear" w:color="auto" w:fill="FFFFFF"/>
        </w:rPr>
      </w:pPr>
      <w:r>
        <w:rPr>
          <w:rFonts w:ascii="Times New Roman" w:hAnsi="Times New Roman"/>
          <w:b/>
          <w:bCs/>
          <w:sz w:val="32"/>
          <w:szCs w:val="32"/>
          <w:shd w:val="clear" w:color="auto" w:fill="FFFFFF"/>
        </w:rPr>
        <w:t>VIII. Визначення показників результативності дії регуляторного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9375" w:type="dxa"/>
        <w:tblLayout w:type="fixed"/>
        <w:tblCellMar>
          <w:left w:w="10" w:type="dxa"/>
          <w:right w:w="10" w:type="dxa"/>
        </w:tblCellMar>
        <w:tblLook w:val="0000" w:firstRow="0" w:lastRow="0" w:firstColumn="0" w:lastColumn="0" w:noHBand="0" w:noVBand="0"/>
      </w:tblPr>
      <w:tblGrid>
        <w:gridCol w:w="798"/>
        <w:gridCol w:w="2461"/>
        <w:gridCol w:w="1448"/>
        <w:gridCol w:w="1304"/>
        <w:gridCol w:w="1398"/>
        <w:gridCol w:w="1005"/>
        <w:gridCol w:w="961"/>
      </w:tblGrid>
      <w:tr>
        <w:tc>
          <w:tcPr>
            <w:tcW w:w="7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w:t>
            </w:r>
          </w:p>
        </w:tc>
        <w:tc>
          <w:tcPr>
            <w:tcW w:w="246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Назва показника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Одиниця виміру</w:t>
            </w:r>
          </w:p>
        </w:tc>
        <w:tc>
          <w:tcPr>
            <w:tcW w:w="130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Зараз</w:t>
            </w:r>
          </w:p>
        </w:tc>
        <w:tc>
          <w:tcPr>
            <w:tcW w:w="13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6 місяців</w:t>
            </w:r>
          </w:p>
        </w:tc>
        <w:tc>
          <w:tcPr>
            <w:tcW w:w="10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1 рік</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3 роки</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державного бюджету,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2</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місцевих бюджетів,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цільового фонду,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4</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та/або фізичних осіб, на яких поширюватиметься дія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5</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коштів, що витрачатимуться суб`єктами господарювання та/або фізичними особами, пов`язаними з виконанням вимог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6</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Час, що витрачатиметься суб`єктами господарювання та/або фізичними особами, пов`язаними з виконанням вимог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год.</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7</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Рівень поінформованості суб`єктів господарювання та/або фізичних осіб з основних положень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8</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зареєстрованих собак</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одиниць</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9</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щеплених та стерілізованих собак</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одиниць</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випадків укусів собаками людей</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одиниць</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w:r>
          </w:p>
        </w:tc>
      </w:tr>
    </w:tbl>
    <w:p w:rsidRDefault="00BB4ED7">
      <w:pPr>
        <w:pStyle w:val="Textbody"/>
        <w:spacing w:after="0" w:line="360" w:lineRule="auto"/>
        <w:rPr>
          <w:rFonts w:ascii="Times New Roman" w:hAnsi="Times New Roman"/>
          <w:sz w:val="28"/>
          <w:szCs w:val="28"/>
        </w:rPr>
      </w:pPr>
    </w:p>
    <w:p w:rsidRDefault="0029758D">
      <w:pPr>
        <w:pStyle w:val="Textbody"/>
        <w:shd w:val="clear" w:color="auto" w:fill="FFFFFF"/>
        <w:spacing w:after="0" w:line="360" w:lineRule="auto"/>
        <w:jc w:val="center"/>
        <w:rPr>
          <w:rFonts w:ascii="Times New Roman" w:hAnsi="Times New Roman"/>
          <w:b/>
          <w:bCs/>
          <w:sz w:val="32"/>
          <w:szCs w:val="32"/>
        </w:rPr>
      </w:pPr>
      <w:r>
        <w:rPr>
          <w:rFonts w:ascii="Times New Roman" w:hAnsi="Times New Roman"/>
          <w:b/>
          <w:bCs/>
          <w:sz w:val="32"/>
          <w:szCs w:val="32"/>
        </w:rPr>
        <w:t>IX. Визначення заходів, за допомогою яких здійснюватиметься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Строки проведення базового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Через 1 рік після набрання актом сили</w:t>
      </w:r>
    </w:p>
    <w:p w:rsidRDefault="0029758D">
      <w:pPr>
        <w:pStyle w:val="Textbody"/>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Строки проведення повторного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Через 2 роки після набрання актом сили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Метод проведення відстеження результативності:</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Статистичний</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Вид даних, за допомогою яких здійснюватиметься відстеження результативності:</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Статиcтичні</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Цільові групи осіб, що обиратимуться для участі у відповідному опитуванні:</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Наукові установи, що залучатимуться для проведення відстеження:</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sectPr>
      <w:pgSz w:w="11906" w:h="16838"/>
      <w:pgMar w:top="1134" w:right="1121" w:bottom="1134" w:left="141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E" w:rsidRDefault="0044343E">
      <w:pPr>
        <w:spacing w:line="240" w:lineRule="auto"/>
      </w:pPr>
      <w:r>
        <w:separator/>
      </w:r>
    </w:p>
  </w:endnote>
  <w:endnote w:type="continuationSeparator" w:id="0">
    <w:p w:rsidR="0044343E" w:rsidRDefault="00443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E" w:rsidRDefault="0044343E">
      <w:pPr>
        <w:spacing w:line="240" w:lineRule="auto"/>
      </w:pPr>
      <w:r>
        <w:separator/>
      </w:r>
    </w:p>
  </w:footnote>
  <w:footnote w:type="continuationSeparator" w:id="0">
    <w:p w:rsidR="0044343E" w:rsidRDefault="004434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29758D"/>
    <w:rsid w:val="002A39BB"/>
    <w:rsid w:val="0044343E"/>
    <w:rsid w:val="00785567"/>
    <w:rsid w:val="00962DB0"/>
    <w:rsid w:val="00A619A4"/>
    <w:rsid w:val="00BB3693"/>
    <w:rsid w:val="00BB4ED7"/>
    <w:rsid w:val="00C40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opentbs1" Type="http://schemas.openxmlformats.org/officeDocument/2006/relationships/image" Target="media/opentbs_added_0.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3951</Words>
  <Characters>2253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5</cp:revision>
  <dcterms:created xsi:type="dcterms:W3CDTF">2017-07-14T08:42:00Z</dcterms:created>
  <dcterms:modified xsi:type="dcterms:W3CDTF">2018-01-30T09:08:00Z</dcterms:modified>
</cp:coreProperties>
</file>