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Згідно з Додатком 4</w:t>
      </w:r>
    </w:p>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до Методики проведення аналізу впливу</w:t>
      </w:r>
    </w:p>
    <w:p w:rsidRDefault="00803F50">
      <w:pPr>
        <w:pStyle w:val="Textbody"/>
        <w:ind w:firstLine="395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регуляторного акта</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ТЕСТ</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малого підприємництва (М-Тест)</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1. Консультації з представниками мікро- та малого підприємництва щодо оцінки впливу регулювання</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Консультації щодо визначення впливу запропонованого регулювання на суб'єктів малого </w:t>
      </w:r>
      <w:r>
        <w:rPr>
          <w:rFonts w:ascii="Times New Roman" w:hAnsi="Times New Roman"/>
          <w:color w:val="auto"/>
          <w:sz w:val="24"/>
          <w:szCs w:val="24"/>
        </w:rPr>
        <w:t>підприємництва та визначення детального переліку процедур, виконання яких необхідно для здійснення регулювання, проведено розробником у період з 13 Липня 2021 р. по 13 Липня 2021 р.</w:t>
      </w:r>
    </w:p>
    <w:tbl>
      <w:tblPr>
        <w:tblW w:w="9638" w:type="dxa"/>
        <w:tblLayout w:type="fixed"/>
        <w:tblCellMar>
          <w:left w:w="10" w:type="dxa"/>
          <w:right w:w="10" w:type="dxa"/>
        </w:tblCellMar>
        <w:tblLook w:val="04A0" w:firstRow="1" w:lastRow="0" w:firstColumn="1" w:lastColumn="0" w:noHBand="0" w:noVBand="1"/>
      </w:tblPr>
      <w:tblGrid>
        <w:gridCol w:w="600"/>
        <w:gridCol w:w="5624"/>
        <w:gridCol w:w="1713"/>
        <w:gridCol w:w="1701"/>
      </w:tblGrid>
      <w:tr>
        <w:tblPrEx>
          <w:tblCellMar>
            <w:top w:w="0" w:type="dxa"/>
            <w:bottom w:w="0" w:type="dxa"/>
          </w:tblCellMar>
        </w:tblPrEx>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jc w:val="center"/>
              <w:rPr>
                <w:rFonts w:ascii="Times New Roman" w:hAnsi="Times New Roman"/>
                <w:b/>
                <w:bCs/>
                <w:sz w:val="24"/>
                <w:szCs w:val="24"/>
              </w:rPr>
            </w:pPr>
            <w:r>
              <w:rPr>
                <w:rFonts w:ascii="Times New Roman" w:hAnsi="Times New Roman"/>
                <w:b/>
                <w:bCs/>
                <w:sz w:val="24"/>
                <w:szCs w:val="24"/>
              </w:rPr>
              <w:t>№</w:t>
            </w:r>
          </w:p>
        </w:tc>
        <w:tc>
          <w:tcPr>
            <w:tcW w:w="5624"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Кількість учасників консультацій, осіб</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Основні результати консультацій (опис)</w:t>
            </w:r>
          </w:p>
        </w:tc>
      </w:tr>
      <w:tr>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5624"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Робоча зустріч з представниками малого підприємництва, що здійснюють діяльність на території громади</w:t>
            </w:r>
          </w:p>
        </w:tc>
        <w:tc>
          <w:tcPr>
            <w:tcW w:w="1713"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10</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Прийняття регуляторного акту в цілому підтримано</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2. Вимірювання впливу регулювання на суб'єктів малого підприємництва (мікро- та малі):</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кількість суб'єктів малого підприємництва, на яких поширюється регулювання: </w:t>
      </w:r>
      <w:r>
        <w:rPr>
          <w:rFonts w:ascii="Times New Roman" w:hAnsi="Times New Roman"/>
          <w:b/>
          <w:bCs/>
          <w:color w:val="auto"/>
          <w:sz w:val="24"/>
          <w:szCs w:val="24"/>
        </w:rPr>
        <w:t>1250</w:t>
      </w:r>
      <w:r>
        <w:rPr>
          <w:rFonts w:ascii="Times New Roman" w:hAnsi="Times New Roman"/>
          <w:color w:val="auto"/>
          <w:sz w:val="24"/>
          <w:szCs w:val="24"/>
          <w:shd w:val="clear" w:color="auto" w:fill="FFFFFF"/>
        </w:rPr>
        <w:t> (одиниць), у тому числі малого підприємництва </w:t>
      </w:r>
      <w:r>
        <w:rPr>
          <w:rFonts w:ascii="Times New Roman" w:hAnsi="Times New Roman"/>
          <w:b/>
          <w:bCs/>
          <w:color w:val="auto"/>
          <w:sz w:val="24"/>
          <w:szCs w:val="24"/>
        </w:rPr>
        <w:t>250</w:t>
      </w:r>
      <w:r>
        <w:rPr>
          <w:rFonts w:ascii="Times New Roman" w:hAnsi="Times New Roman"/>
          <w:color w:val="auto"/>
          <w:sz w:val="24"/>
          <w:szCs w:val="24"/>
          <w:shd w:val="clear" w:color="auto" w:fill="FFFFFF"/>
        </w:rPr>
        <w:t> (одиниць) та мікропідприємництва </w:t>
      </w:r>
      <w:r>
        <w:rPr>
          <w:rFonts w:ascii="Times New Roman" w:hAnsi="Times New Roman"/>
          <w:b/>
          <w:bCs/>
          <w:color w:val="auto"/>
          <w:sz w:val="24"/>
          <w:szCs w:val="24"/>
        </w:rPr>
        <w:t>1000</w:t>
      </w:r>
      <w:r>
        <w:rPr>
          <w:rFonts w:ascii="Times New Roman" w:hAnsi="Times New Roman"/>
          <w:color w:val="auto"/>
          <w:sz w:val="24"/>
          <w:szCs w:val="24"/>
          <w:shd w:val="clear" w:color="auto" w:fill="FFFFFF"/>
        </w:rPr>
        <w:t> (одиниць);</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b/>
          <w:bCs/>
          <w:color w:val="auto"/>
          <w:sz w:val="24"/>
          <w:szCs w:val="24"/>
        </w:rPr>
        <w:t>20.00</w:t>
      </w:r>
      <w:r>
        <w:rPr>
          <w:rFonts w:ascii="Times New Roman" w:hAnsi="Times New Roman"/>
          <w:color w:val="auto"/>
          <w:sz w:val="24"/>
          <w:szCs w:val="24"/>
          <w:shd w:val="clear" w:color="auto" w:fill="FFFFFF"/>
        </w:rPr>
        <w:t> (відсотків)</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tblPrEx>
          <w:tblCellMar>
            <w:top w:w="0" w:type="dxa"/>
            <w:bottom w:w="0" w:type="dxa"/>
          </w:tblCellMar>
        </w:tblPrEx>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Витрати за</w:t>
            </w:r>
          </w:p>
          <w:p w:rsidRDefault="00803F50">
            <w:pPr>
              <w:pStyle w:val="Standard"/>
              <w:rPr>
                <w:rFonts w:ascii="Times New Roman" w:hAnsi="Times New Roman"/>
                <w:b/>
                <w:bCs/>
              </w:rPr>
            </w:pPr>
            <w:r>
              <w:rPr>
                <w:rFonts w:ascii="Times New Roman" w:hAnsi="Times New Roman"/>
                <w:b/>
                <w:bCs/>
              </w:rPr>
              <w:t>п'ять років</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“прямих” витрат суб'єктів малого підприємництва на виконання регулювання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7</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rPr>
          <w:trHeight w:val="772"/>
        </w:trPr>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8</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вартості адміністративних процедур суб'єктів малого підприємництва щодо виконання регулювання та звітування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9</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отримання первинної інформації про вимоги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10</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організації виконання вимог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72.22</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72.22</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144.44</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144.44</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541650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541650</w:t>
            </w:r>
          </w:p>
        </w:tc>
      </w:tr>
    </w:tbl>
    <w:p w:rsidRDefault="007053A7">
      <w:pPr>
        <w:pStyle w:val="Textbody"/>
        <w:spacing w:after="240"/>
        <w:rPr>
          <w:rFonts w:ascii="Times New Roman" w:hAnsi="Times New Roman"/>
          <w:color w:val="auto"/>
          <w:sz w:val="24"/>
          <w:szCs w:val="24"/>
        </w:rPr>
      </w:pP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БЮДЖЕТНІ ВИТРАТИ</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на адміністрування регулювання для суб'єктів малого і мікропідприємництва</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Default="00803F50">
      <w:pPr>
        <w:pStyle w:val="Textbody"/>
        <w:spacing w:after="160"/>
        <w:rPr>
          <w:rFonts w:ascii="Times New Roman" w:hAnsi="Times New Roman"/>
          <w:b/>
          <w:bCs/>
          <w:color w:val="auto"/>
          <w:sz w:val="24"/>
          <w:szCs w:val="24"/>
          <w:shd w:val="clear" w:color="auto" w:fill="FFFFFF"/>
        </w:rPr>
      </w:pPr>
      <w:r>
        <w:rPr>
          <w:rFonts w:ascii="Times New Roman" w:hAnsi="Times New Roman"/>
          <w:b/>
          <w:bCs/>
          <w:color w:val="auto"/>
          <w:sz w:val="24"/>
          <w:szCs w:val="24"/>
          <w:shd w:val="clear" w:color="auto" w:fill="FFFFFF"/>
        </w:rPr>
        <w:t>Державний орган, для якого здійснюється розрахунок адміністрування регулювання:</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rPr>
        <w:t>Не передбачено</w:t>
      </w:r>
    </w:p>
    <w:tbl>
      <w:tblPr>
        <w:tblW w:w="9638" w:type="dxa"/>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tblPrEx>
          <w:tblCellMar>
            <w:top w:w="0" w:type="dxa"/>
            <w:bottom w:w="0" w:type="dxa"/>
          </w:tblCellMar>
        </w:tblPrEx>
        <w:tc>
          <w:tcPr>
            <w:tcW w:w="243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Процедура регулювання суб'єктів малого і мікропідприємництва (розрахунок на одного типового суб'єкта господарювання)</w:t>
            </w:r>
          </w:p>
        </w:tc>
        <w:tc>
          <w:tcPr>
            <w:tcW w:w="109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Планові витрати часу на процедуру</w:t>
            </w:r>
          </w:p>
        </w:tc>
        <w:tc>
          <w:tcPr>
            <w:tcW w:w="1602"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Вартість часу співробітника органу державної влади відповідної категорії (заробітна плата)</w:t>
            </w:r>
          </w:p>
        </w:tc>
        <w:tc>
          <w:tcPr>
            <w:tcW w:w="135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процедур за рік, що припадають на одного суб'єкта</w:t>
            </w:r>
          </w:p>
        </w:tc>
        <w:tc>
          <w:tcPr>
            <w:tcW w:w="1414"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суб'єктів, що підпадають під дію процедури регулювання</w:t>
            </w:r>
          </w:p>
        </w:tc>
        <w:tc>
          <w:tcPr>
            <w:tcW w:w="17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Витрати на адміністрування регулювання* (за рік), гривень</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Облік суб’єкта господарювання, що перебуває у сфері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камеральні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виїзні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2</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357500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затвердження та опрацювання одного окремого акта про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Реалізація одного окремого рішення щодо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Оскарження одного окремого рішення суб’єктами господарювання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звітності за результатами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Разом за рік</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357500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Сумарно за п'ять років</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1787500</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Default="007053A7">
      <w:pPr>
        <w:pStyle w:val="Textbody"/>
        <w:rPr>
          <w:rFonts w:ascii="Times New Roman" w:hAnsi="Times New Roman"/>
          <w:b/>
          <w:color w:val="auto"/>
          <w:sz w:val="24"/>
          <w:szCs w:val="24"/>
          <w:shd w:val="clear" w:color="auto" w:fill="FFFFFF"/>
        </w:rPr>
      </w:pPr>
    </w:p>
    <w:p w:rsidRDefault="00803F50">
      <w:pPr>
        <w:pStyle w:val="Textbody"/>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tblPrEx>
          <w:tblCellMar>
            <w:top w:w="0" w:type="dxa"/>
            <w:bottom w:w="0" w:type="dxa"/>
          </w:tblCellMar>
        </w:tblPrEx>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За п'ять років, гривень</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“прямих”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180550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541650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3</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180550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541650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357500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1787500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538050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2329150</w:t>
            </w:r>
          </w:p>
        </w:tc>
      </w:tr>
    </w:tbl>
    <w:p w:rsidRDefault="007053A7">
      <w:pPr>
        <w:pStyle w:val="Textbody"/>
        <w:spacing w:after="240"/>
        <w:rPr>
          <w:rFonts w:ascii="Times New Roman" w:hAnsi="Times New Roman"/>
          <w:color w:val="auto"/>
          <w:sz w:val="24"/>
          <w:szCs w:val="24"/>
        </w:rPr>
      </w:pPr>
    </w:p>
    <w:p w:rsidRDefault="00803F50">
      <w:pPr>
        <w:pStyle w:val="Textbody"/>
        <w:spacing w:after="160"/>
        <w:rPr>
          <w:rFonts w:ascii="Times New Roman" w:hAnsi="Times New Roman"/>
          <w:b/>
          <w:color w:val="auto"/>
          <w:sz w:val="24"/>
          <w:szCs w:val="24"/>
        </w:rPr>
      </w:pPr>
      <w:r>
        <w:rPr>
          <w:rFonts w:ascii="Times New Roman" w:hAnsi="Times New Roman"/>
          <w:b/>
          <w:color w:val="auto"/>
          <w:sz w:val="24"/>
          <w:szCs w:val="24"/>
        </w:rPr>
        <w:t>5. Розроблення корегуючих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6032"/>
        <w:gridCol w:w="3600"/>
      </w:tblGrid>
      <w:tr>
        <w:tblPrEx>
          <w:tblCellMar>
            <w:top w:w="0" w:type="dxa"/>
            <w:bottom w:w="0" w:type="dxa"/>
          </w:tblCellMar>
        </w:tblPrEx>
        <w:tc>
          <w:tcPr>
            <w:tcW w:w="603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Процедура, що потребує корегування</w:t>
            </w:r>
          </w:p>
        </w:tc>
        <w:tc>
          <w:tcPr>
            <w:tcW w:w="36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sz w:val="24"/>
                <w:szCs w:val="24"/>
              </w:rPr>
            </w:pPr>
            <w:r>
              <w:rPr>
                <w:rFonts w:ascii="Times New Roman" w:hAnsi="Times New Roman"/>
                <w:b/>
                <w:bCs/>
                <w:sz w:val="24"/>
                <w:szCs w:val="24"/>
              </w:rPr>
              <w:t>Корегуючий механізм</w:t>
            </w:r>
          </w:p>
        </w:tc>
      </w:tr>
      <w:tr>
        <w:tblPrEx>
          <w:tblCellMar>
            <w:top w:w="0" w:type="dxa"/>
            <w:bottom w:w="0" w:type="dxa"/>
          </w:tblCellMar>
        </w:tblPrEx>
        <w:tc>
          <w:tcPr>
            <w:tcW w:w="603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3602"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bl>
    <w:p w:rsidRDefault="007053A7">
      <w:pPr>
        <w:pStyle w:val="Textbody"/>
        <w:rPr>
          <w:rFonts w:ascii="Times New Roman" w:hAnsi="Times New Roman"/>
          <w:color w:val="auto"/>
          <w:sz w:val="24"/>
          <w:szCs w:val="24"/>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tblPrEx>
          <w:tblCellMar>
            <w:top w:w="0" w:type="dxa"/>
            <w:bottom w:w="0" w:type="dxa"/>
          </w:tblCellMar>
        </w:tblPrEx>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п'ять років, гривень</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180550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541650</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bl>
    <w:p w:rsidRDefault="007053A7">
      <w:pPr>
        <w:pStyle w:val="Textbody"/>
        <w:jc w:val="center"/>
        <w:rPr>
          <w:rFonts w:ascii="Times New Roman" w:hAnsi="Times New Roman"/>
          <w:color w:val="auto"/>
          <w:sz w:val="24"/>
          <w:szCs w:val="24"/>
        </w:rPr>
      </w:pPr>
    </w:p>
    <w:sectPr>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50" w:rsidRDefault="00803F50">
      <w:pPr>
        <w:spacing w:line="240" w:lineRule="auto"/>
      </w:pPr>
      <w:r>
        <w:separator/>
      </w:r>
    </w:p>
  </w:endnote>
  <w:endnote w:type="continuationSeparator" w:id="0">
    <w:p w:rsidR="00803F50" w:rsidRDefault="0080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OpenSymbol">
    <w:charset w:val="02"/>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50" w:rsidRDefault="00803F50">
      <w:pPr>
        <w:spacing w:line="240" w:lineRule="auto"/>
      </w:pPr>
      <w:r>
        <w:separator/>
      </w:r>
    </w:p>
  </w:footnote>
  <w:footnote w:type="continuationSeparator" w:id="0">
    <w:p w:rsidR="00803F50" w:rsidRDefault="00803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053A7"/>
    <w:rsid w:val="00345A4F"/>
    <w:rsid w:val="007053A7"/>
    <w:rsid w:val="00803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4DCF-1A94-4AE0-9FD0-D499446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1962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2</cp:revision>
  <dcterms:created xsi:type="dcterms:W3CDTF">2017-07-17T12:38:00Z</dcterms:created>
  <dcterms:modified xsi:type="dcterms:W3CDTF">2017-07-17T12:38:00Z</dcterms:modified>
</cp:coreProperties>
</file>