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626F67" w:rsidRPr="00C06338" w14:paraId="212F9162" w14:textId="77777777" w:rsidTr="003B57AD">
        <w:tc>
          <w:tcPr>
            <w:tcW w:w="9209" w:type="dxa"/>
            <w:gridSpan w:val="3"/>
            <w:shd w:val="clear" w:color="auto" w:fill="auto"/>
          </w:tcPr>
          <w:p w14:paraId="791E79B2" w14:textId="19A7A7AD" w:rsidR="00C801E1" w:rsidRPr="00C06338" w:rsidRDefault="00626F67" w:rsidP="00C801E1">
            <w:pPr>
              <w:spacing w:after="120"/>
              <w:contextualSpacing/>
              <w:jc w:val="center"/>
              <w:rPr>
                <w:rFonts w:eastAsia="Calibri"/>
                <w:lang w:val="uk-UA"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Pr="00626F67">
              <w:rPr>
                <w:rFonts w:eastAsia="Calibri"/>
                <w:b/>
                <w:lang w:val="uk-UA" w:eastAsia="en-US"/>
              </w:rPr>
              <w:t xml:space="preserve"> (закупівля </w:t>
            </w:r>
            <w:r w:rsidR="00C65A9D">
              <w:rPr>
                <w:rFonts w:eastAsia="Calibri"/>
                <w:b/>
                <w:lang w:val="uk-UA" w:eastAsia="en-US"/>
              </w:rPr>
              <w:t xml:space="preserve">               </w:t>
            </w:r>
            <w:r w:rsidRPr="00626F67">
              <w:rPr>
                <w:b/>
                <w:color w:val="333333"/>
                <w:shd w:val="clear" w:color="auto" w:fill="FFFFFF"/>
              </w:rPr>
              <w:t>UA-202</w:t>
            </w:r>
            <w:r w:rsidR="006D6073">
              <w:rPr>
                <w:b/>
                <w:color w:val="333333"/>
                <w:shd w:val="clear" w:color="auto" w:fill="FFFFFF"/>
                <w:lang w:val="uk-UA"/>
              </w:rPr>
              <w:t>2</w:t>
            </w:r>
            <w:r w:rsidRPr="00626F67">
              <w:rPr>
                <w:b/>
                <w:color w:val="333333"/>
                <w:shd w:val="clear" w:color="auto" w:fill="FFFFFF"/>
              </w:rPr>
              <w:t>-</w:t>
            </w:r>
            <w:r w:rsidR="006D6073">
              <w:rPr>
                <w:b/>
                <w:color w:val="333333"/>
                <w:shd w:val="clear" w:color="auto" w:fill="FFFFFF"/>
                <w:lang w:val="uk-UA"/>
              </w:rPr>
              <w:t>0</w:t>
            </w:r>
            <w:r w:rsidRPr="00626F67">
              <w:rPr>
                <w:b/>
                <w:color w:val="333333"/>
                <w:shd w:val="clear" w:color="auto" w:fill="FFFFFF"/>
              </w:rPr>
              <w:t>2-</w:t>
            </w:r>
            <w:r w:rsidR="006D6073">
              <w:rPr>
                <w:b/>
                <w:color w:val="333333"/>
                <w:shd w:val="clear" w:color="auto" w:fill="FFFFFF"/>
                <w:lang w:val="uk-UA"/>
              </w:rPr>
              <w:t>10</w:t>
            </w:r>
            <w:r w:rsidRPr="00626F67">
              <w:rPr>
                <w:b/>
                <w:color w:val="333333"/>
                <w:shd w:val="clear" w:color="auto" w:fill="FFFFFF"/>
              </w:rPr>
              <w:t>-0</w:t>
            </w:r>
            <w:r w:rsidR="00C801E1">
              <w:rPr>
                <w:b/>
                <w:color w:val="333333"/>
                <w:shd w:val="clear" w:color="auto" w:fill="FFFFFF"/>
                <w:lang w:val="uk-UA"/>
              </w:rPr>
              <w:t>1</w:t>
            </w:r>
            <w:r w:rsidR="004E557E">
              <w:rPr>
                <w:b/>
                <w:color w:val="333333"/>
                <w:shd w:val="clear" w:color="auto" w:fill="FFFFFF"/>
                <w:lang w:val="uk-UA"/>
              </w:rPr>
              <w:t>1</w:t>
            </w:r>
            <w:r w:rsidR="00C801E1">
              <w:rPr>
                <w:b/>
                <w:color w:val="333333"/>
                <w:shd w:val="clear" w:color="auto" w:fill="FFFFFF"/>
                <w:lang w:val="uk-UA"/>
              </w:rPr>
              <w:t>767</w:t>
            </w:r>
            <w:r w:rsidRPr="00626F67">
              <w:rPr>
                <w:b/>
                <w:color w:val="333333"/>
                <w:shd w:val="clear" w:color="auto" w:fill="FFFFFF"/>
              </w:rPr>
              <w:t>-</w:t>
            </w:r>
            <w:r w:rsidR="00C801E1">
              <w:rPr>
                <w:b/>
                <w:color w:val="333333"/>
                <w:shd w:val="clear" w:color="auto" w:fill="FFFFFF"/>
                <w:lang w:val="en-US"/>
              </w:rPr>
              <w:t>b</w:t>
            </w:r>
            <w:r w:rsidRPr="00626F67">
              <w:rPr>
                <w:rFonts w:eastAsia="Calibri"/>
                <w:b/>
                <w:lang w:val="uk-UA" w:eastAsia="en-US"/>
              </w:rPr>
              <w:t>)</w:t>
            </w:r>
          </w:p>
        </w:tc>
      </w:tr>
      <w:tr w:rsidR="00626F67" w:rsidRPr="00C06338" w14:paraId="2E2B01F7" w14:textId="77777777" w:rsidTr="003B57AD">
        <w:tc>
          <w:tcPr>
            <w:tcW w:w="421" w:type="dxa"/>
            <w:shd w:val="clear" w:color="auto" w:fill="auto"/>
          </w:tcPr>
          <w:p w14:paraId="38E92FD9" w14:textId="77777777" w:rsidR="00626F67" w:rsidRPr="006D6073" w:rsidRDefault="00626F67" w:rsidP="003B57AD">
            <w:pPr>
              <w:rPr>
                <w:b/>
                <w:bCs/>
                <w:lang w:val="uk-UA"/>
              </w:rPr>
            </w:pPr>
            <w:r w:rsidRPr="006D6073">
              <w:rPr>
                <w:b/>
                <w:bCs/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64DD6A1A" w14:textId="77777777" w:rsidR="00626F67" w:rsidRPr="00C06338" w:rsidRDefault="00626F67" w:rsidP="003B57AD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1D3C5238" w14:textId="5FB50D9A" w:rsidR="006D6073" w:rsidRPr="00C06338" w:rsidRDefault="00626F67" w:rsidP="006D6073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lang w:val="uk-UA"/>
              </w:rPr>
            </w:pPr>
            <w:r w:rsidRPr="00C06338">
              <w:rPr>
                <w:bCs/>
                <w:kern w:val="36"/>
                <w:lang w:val="uk-UA" w:eastAsia="uk-UA"/>
              </w:rPr>
              <w:t xml:space="preserve">Природний газ (код ДК 021:2015 — </w:t>
            </w:r>
            <w:r w:rsidR="006D6073">
              <w:rPr>
                <w:bCs/>
                <w:kern w:val="36"/>
                <w:lang w:val="uk-UA" w:eastAsia="uk-UA"/>
              </w:rPr>
              <w:t>6521</w:t>
            </w:r>
            <w:r w:rsidRPr="00C06338">
              <w:rPr>
                <w:bCs/>
                <w:kern w:val="36"/>
                <w:lang w:val="uk-UA" w:eastAsia="uk-UA"/>
              </w:rPr>
              <w:t>0000-</w:t>
            </w:r>
            <w:r w:rsidR="006D6073">
              <w:rPr>
                <w:bCs/>
                <w:kern w:val="36"/>
                <w:lang w:val="uk-UA" w:eastAsia="uk-UA"/>
              </w:rPr>
              <w:t>8</w:t>
            </w:r>
            <w:r w:rsidRPr="00C06338">
              <w:rPr>
                <w:bCs/>
                <w:kern w:val="36"/>
                <w:lang w:val="uk-UA" w:eastAsia="uk-UA"/>
              </w:rPr>
              <w:t xml:space="preserve"> — </w:t>
            </w:r>
            <w:r w:rsidR="006D6073">
              <w:rPr>
                <w:bCs/>
                <w:kern w:val="36"/>
                <w:lang w:val="uk-UA" w:eastAsia="uk-UA"/>
              </w:rPr>
              <w:t>Розподіл газу (послуги з розподілу природнього газу)</w:t>
            </w:r>
          </w:p>
        </w:tc>
      </w:tr>
      <w:tr w:rsidR="00C65A9D" w:rsidRPr="00C06338" w14:paraId="70F96A53" w14:textId="77777777" w:rsidTr="003B57AD">
        <w:tc>
          <w:tcPr>
            <w:tcW w:w="421" w:type="dxa"/>
            <w:shd w:val="clear" w:color="auto" w:fill="auto"/>
          </w:tcPr>
          <w:p w14:paraId="5D63E118" w14:textId="2B70E578" w:rsidR="00C65A9D" w:rsidRPr="006D6073" w:rsidRDefault="00C65A9D" w:rsidP="003B57AD">
            <w:pPr>
              <w:rPr>
                <w:b/>
                <w:bCs/>
                <w:lang w:val="uk-UA"/>
              </w:rPr>
            </w:pPr>
            <w:r w:rsidRPr="006D6073">
              <w:rPr>
                <w:b/>
                <w:bCs/>
                <w:lang w:val="uk-UA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5BBF36F9" w14:textId="3280CB79" w:rsidR="00C65A9D" w:rsidRPr="00C06338" w:rsidRDefault="00C65A9D" w:rsidP="003B57A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5578" w:type="dxa"/>
            <w:shd w:val="clear" w:color="auto" w:fill="auto"/>
          </w:tcPr>
          <w:p w14:paraId="51ACE5D1" w14:textId="2C2DDCB4" w:rsidR="00C65A9D" w:rsidRPr="00C65A9D" w:rsidRDefault="00C65A9D" w:rsidP="003B57AD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Переговорна процедура </w:t>
            </w:r>
          </w:p>
        </w:tc>
      </w:tr>
      <w:tr w:rsidR="00626F67" w:rsidRPr="00C06338" w14:paraId="00FB1272" w14:textId="77777777" w:rsidTr="003B57AD">
        <w:tc>
          <w:tcPr>
            <w:tcW w:w="421" w:type="dxa"/>
            <w:shd w:val="clear" w:color="auto" w:fill="auto"/>
          </w:tcPr>
          <w:p w14:paraId="42F72F7B" w14:textId="5608C000" w:rsidR="00626F67" w:rsidRPr="006D6073" w:rsidRDefault="00C65A9D" w:rsidP="003B57AD">
            <w:pPr>
              <w:rPr>
                <w:b/>
                <w:bCs/>
                <w:lang w:val="uk-UA"/>
              </w:rPr>
            </w:pPr>
            <w:r w:rsidRPr="006D6073">
              <w:rPr>
                <w:b/>
                <w:bCs/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1FE557DA" w14:textId="77777777" w:rsidR="00626F67" w:rsidRPr="00C06338" w:rsidRDefault="00626F67" w:rsidP="003B57AD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34460CEF" w14:textId="77777777" w:rsidR="00626F67" w:rsidRDefault="00626F67" w:rsidP="003B57AD">
            <w:pPr>
              <w:jc w:val="both"/>
              <w:rPr>
                <w:shd w:val="clear" w:color="auto" w:fill="FFFFFF"/>
              </w:rPr>
            </w:pPr>
            <w:r w:rsidRPr="00C06338">
              <w:rPr>
                <w:shd w:val="clear" w:color="auto" w:fill="FFFFFF"/>
              </w:rPr>
              <w:t>Технічні, якісні характеристики предмета закупівлі визначені відповідно до потреб замовника та повинні відповідати встановленим/зареєстрованим діючим нормативним актам чинного законодавства України (державним стандартам (технічним умовам).</w:t>
            </w:r>
          </w:p>
          <w:p w14:paraId="3C681BB0" w14:textId="1E757759" w:rsidR="004D6928" w:rsidRPr="004D6928" w:rsidRDefault="004D6928" w:rsidP="003B57AD">
            <w:pPr>
              <w:jc w:val="both"/>
              <w:rPr>
                <w:lang w:val="uk-UA"/>
              </w:rPr>
            </w:pPr>
            <w:r w:rsidRPr="00822F8F">
              <w:t>Відповідно до п.2 ч.2 ст.40 Закону, закупівля проводиться як виняток у разі відсутності конкуренції з технічних причин</w:t>
            </w:r>
            <w:r w:rsidRPr="00822F8F">
              <w:rPr>
                <w:lang w:val="uk-UA"/>
              </w:rPr>
              <w:t>.</w:t>
            </w:r>
          </w:p>
        </w:tc>
      </w:tr>
      <w:tr w:rsidR="00626F67" w:rsidRPr="00C06338" w14:paraId="6AF2DD20" w14:textId="77777777" w:rsidTr="003B57AD">
        <w:tc>
          <w:tcPr>
            <w:tcW w:w="421" w:type="dxa"/>
            <w:shd w:val="clear" w:color="auto" w:fill="auto"/>
          </w:tcPr>
          <w:p w14:paraId="3AFF5B48" w14:textId="3DAD0AB6" w:rsidR="00626F67" w:rsidRPr="006D6073" w:rsidRDefault="00C65A9D" w:rsidP="003B57AD">
            <w:pPr>
              <w:rPr>
                <w:b/>
                <w:bCs/>
                <w:lang w:val="uk-UA"/>
              </w:rPr>
            </w:pPr>
            <w:r w:rsidRPr="006D6073">
              <w:rPr>
                <w:b/>
                <w:bCs/>
                <w:lang w:val="uk-UA"/>
              </w:rPr>
              <w:t xml:space="preserve"> 4</w:t>
            </w:r>
          </w:p>
        </w:tc>
        <w:tc>
          <w:tcPr>
            <w:tcW w:w="3210" w:type="dxa"/>
            <w:shd w:val="clear" w:color="auto" w:fill="auto"/>
          </w:tcPr>
          <w:p w14:paraId="715DB804" w14:textId="77777777" w:rsidR="00626F67" w:rsidRPr="00C06338" w:rsidRDefault="00626F67" w:rsidP="003B57AD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14:paraId="74894059" w14:textId="2FD7E419" w:rsidR="00845061" w:rsidRPr="00A32709" w:rsidRDefault="00845061" w:rsidP="00845061">
            <w:pPr>
              <w:jc w:val="both"/>
              <w:rPr>
                <w:shd w:val="clear" w:color="auto" w:fill="FFFFFF"/>
                <w:lang w:val="uk-UA"/>
              </w:rPr>
            </w:pPr>
            <w:r w:rsidRPr="00A32709">
              <w:rPr>
                <w:lang w:val="uk-UA"/>
              </w:rPr>
              <w:t>Розмір бюджетного призначення визначений з урахуванням вимог наказу Міністерства розвитку економіки, торгівлі та сільського господарства України від 18.02.2020 № 275 "Про затвердження примірної методики визначення очікуваної вартості предмета закупівлі", п</w:t>
            </w:r>
            <w:r w:rsidRPr="00A32709">
              <w:rPr>
                <w:shd w:val="clear" w:color="auto" w:fill="FFFFFF"/>
                <w:lang w:val="uk-UA"/>
              </w:rPr>
              <w:t xml:space="preserve">останови Кабінету Міністрів України «Про ефективне використання державних коштів» від </w:t>
            </w:r>
            <w:r w:rsidRPr="00A32709">
              <w:rPr>
                <w:lang w:val="uk-UA"/>
              </w:rPr>
              <w:t>11.10.2016 № 710 (зі змінами), Законом України «Про Державний бюджет України на 202</w:t>
            </w:r>
            <w:r w:rsidR="00DE09C3">
              <w:rPr>
                <w:lang w:val="uk-UA"/>
              </w:rPr>
              <w:t>2</w:t>
            </w:r>
            <w:r w:rsidRPr="00A32709">
              <w:rPr>
                <w:lang w:val="uk-UA"/>
              </w:rPr>
              <w:t xml:space="preserve"> рік» та на підставі попередніх розрахунків до проєкту бюджету на 202</w:t>
            </w:r>
            <w:r w:rsidR="00A32709" w:rsidRPr="00A32709">
              <w:rPr>
                <w:lang w:val="uk-UA"/>
              </w:rPr>
              <w:t>2</w:t>
            </w:r>
            <w:r w:rsidRPr="00A32709">
              <w:rPr>
                <w:lang w:val="uk-UA"/>
              </w:rPr>
              <w:t xml:space="preserve"> рік. При визначенні очікуваної вартості закупівлі враховувалась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закупівель "</w:t>
            </w:r>
            <w:r w:rsidRPr="00A32709">
              <w:t>Prozorro</w:t>
            </w:r>
            <w:r w:rsidRPr="00A32709">
              <w:rPr>
                <w:lang w:val="uk-UA"/>
              </w:rPr>
              <w:t xml:space="preserve">". </w:t>
            </w:r>
            <w:r w:rsidRPr="00A32709">
              <w:t>Очікувана вартість/розмір бюджетного призначення предмета закупівлі визначено за результатом моніторингу цін на ринку, обрахована відповідно до середньоринкового рівня цін</w:t>
            </w:r>
            <w:r w:rsidRPr="00A32709">
              <w:rPr>
                <w:lang w:val="uk-UA"/>
              </w:rPr>
              <w:t>.</w:t>
            </w:r>
          </w:p>
          <w:p w14:paraId="3369551C" w14:textId="36759BB9" w:rsidR="00626F67" w:rsidRPr="00A32709" w:rsidRDefault="00113BE2" w:rsidP="00845061">
            <w:pPr>
              <w:jc w:val="both"/>
              <w:rPr>
                <w:lang w:val="uk-UA"/>
              </w:rPr>
            </w:pPr>
            <w:r w:rsidRPr="00A32709">
              <w:t xml:space="preserve">ДК 021:2015:65210000-8: Розподіл газу Правові та організаційні засади функціонування ринку природного газу визначені Законом України «Про ринок природного газу» № 329-VIII від 09.04.2015p. (далі-Закон України «Про ринок природного газу»). Даний закон розмежовує закупівлю розподілу газу (як послуги) та природного газу (як товару). Відповідно ч.1 cт.1 Закону України «Про ринок природного газу»: «розподіл природного газу - господарська діяльність, що підлягає ліцензуванню і пов’язана з переміщенням природного газу газорозподільною системою з метою його фізичної доставки споживачам, але що не включає постачання </w:t>
            </w:r>
            <w:r w:rsidRPr="00A32709">
              <w:lastRenderedPageBreak/>
              <w:t xml:space="preserve">природного газу». Послуги з розподілу природного газу надає оператор газорозподільної системи – суб’єкт господарювання, який на підставі ліцензії здійснює діяльність із розподілу природного газу газорозподільною системою на користь третіх осіб (замовників). Згідно постанови НКРЕКП від 29.06.2017 р. № 841, ПАТ «ОДЕСАГАЗ» видано ліцензію на право провадження господарської діяльності з розподілу природного газу в межах території міста Одеса та Одеської області, де знаходиться газорозподільна система, що перебуває у власності, господарському віданні, користуванні чи експлуатації ПУБЛІЧНОГО АКЦІОНЕРНОГО ТОВАРИСТВА «ОДЕСАГАЗ». Крім того, учасника включено до Переліку суб'єктів природних монополій, який розміщено на офіційному веб-сайті Антимонопольного комітету України відповідно до ст. 5 Закону України “Про природні монополії” та Розпорядження Антимонопольного комітету України від 28.11.2012 № 874-р «Про затвердження Порядку складання та ведення зведеного переліку суб’єктів природних монополій». Отже, отримати послуги розподілу природного газу неможливо від інших постачальників, ніж АТ «ОДЕСАГАЗ», що є єдиним постачальником послуги розподілу природного газу замовнику. Відповідно ч.1 cт.5 Закону України «Про природні монополії» №1682-III від 20.04.2000p. діяльність з розподілу природного газу належить до сфери діяльності суб’єктів природних монополій. Зведений перелік суб’єктів природних монополій ведеться Антимонопольним комітетом України на підставі реєстру суб’єктів природних монополій, які провадять господарську діяльність у сфері енергетики, що формується Національною комісією, що здійснює державне регулювання у сфері комунальних послуг (ч.2 ст.5 ЗУ «Про природні монополії»). Відповідно до п.2 ч.2 ст.40 Закону, закупівля проводиться як виняток у разі відсутності конкуренції з технічних причин, яка має бути документально підтверджена замовником. Управління освіти Фонтанської сільської ради Одеського району Одеської області приєднана до мережі АТ «ОДЕСАГАЗ». Отримання послуги розподілу природного газу є неможливим від інших постачальників з технічних причин. Зазначене підприємство має забезпечити Управління освіти Фонтанської сільської ради Одеського району Одеської області послугами розподілу природного газу впродовж усього 2022 року, в іншому випадку існує реальна перешкода для безперебійного та </w:t>
            </w:r>
            <w:r w:rsidRPr="00A32709">
              <w:lastRenderedPageBreak/>
              <w:t>якісного надання однієї з життєво важливих послуг замовнику.</w:t>
            </w:r>
          </w:p>
        </w:tc>
      </w:tr>
      <w:tr w:rsidR="00113BE2" w:rsidRPr="00C06338" w14:paraId="29352005" w14:textId="77777777" w:rsidTr="003B57AD">
        <w:tc>
          <w:tcPr>
            <w:tcW w:w="421" w:type="dxa"/>
            <w:shd w:val="clear" w:color="auto" w:fill="auto"/>
          </w:tcPr>
          <w:p w14:paraId="3FCB7741" w14:textId="752854BC" w:rsidR="00113BE2" w:rsidRPr="006D6073" w:rsidRDefault="00113BE2" w:rsidP="003B57A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5</w:t>
            </w:r>
          </w:p>
        </w:tc>
        <w:tc>
          <w:tcPr>
            <w:tcW w:w="3210" w:type="dxa"/>
            <w:shd w:val="clear" w:color="auto" w:fill="auto"/>
          </w:tcPr>
          <w:p w14:paraId="7BAAE029" w14:textId="62C686A5" w:rsidR="00113BE2" w:rsidRPr="00C06338" w:rsidRDefault="00113BE2" w:rsidP="003B57AD">
            <w:pPr>
              <w:rPr>
                <w:b/>
                <w:lang w:val="uk-UA"/>
              </w:rPr>
            </w:pPr>
            <w:r w:rsidRPr="00EB4EB4">
              <w:rPr>
                <w:b/>
              </w:rPr>
              <w:t>Обґрунтування обсягів закупівлі</w:t>
            </w:r>
          </w:p>
        </w:tc>
        <w:tc>
          <w:tcPr>
            <w:tcW w:w="5578" w:type="dxa"/>
            <w:shd w:val="clear" w:color="auto" w:fill="auto"/>
          </w:tcPr>
          <w:p w14:paraId="4423BDBE" w14:textId="05498408" w:rsidR="00191675" w:rsidRPr="00A32709" w:rsidRDefault="00113BE2" w:rsidP="00845061">
            <w:pPr>
              <w:jc w:val="both"/>
              <w:rPr>
                <w:lang w:val="ru-UA" w:eastAsia="ru-UA"/>
              </w:rPr>
            </w:pPr>
            <w:r w:rsidRPr="004E557E">
              <w:rPr>
                <w:lang w:val="uk-UA"/>
              </w:rPr>
              <w:t>Обсяги визначено відповідно до потреби, обрахованої Замовником та обсягу фінансування</w:t>
            </w:r>
            <w:r w:rsidR="004E557E">
              <w:rPr>
                <w:lang w:val="uk-UA"/>
              </w:rPr>
              <w:t xml:space="preserve"> О</w:t>
            </w:r>
            <w:r w:rsidR="00191675" w:rsidRPr="00A32709">
              <w:rPr>
                <w:lang w:val="uk-UA"/>
              </w:rPr>
              <w:t>чікувана вартість закупівлі складає</w:t>
            </w:r>
            <w:r w:rsidR="004E557E">
              <w:rPr>
                <w:lang w:val="uk-UA"/>
              </w:rPr>
              <w:t>:</w:t>
            </w:r>
            <w:r w:rsidR="00191675" w:rsidRPr="00A32709">
              <w:rPr>
                <w:lang w:val="uk-UA"/>
              </w:rPr>
              <w:t xml:space="preserve"> </w:t>
            </w:r>
            <w:r w:rsidR="004E557E">
              <w:rPr>
                <w:lang w:val="uk-UA"/>
              </w:rPr>
              <w:t xml:space="preserve">                       </w:t>
            </w:r>
            <w:r w:rsidR="00191675" w:rsidRPr="00A32709">
              <w:rPr>
                <w:lang w:val="uk-UA"/>
              </w:rPr>
              <w:t xml:space="preserve">204 501.88 грн. </w:t>
            </w:r>
            <w:r w:rsidR="00845061" w:rsidRPr="00A32709">
              <w:rPr>
                <w:lang w:val="uk-UA"/>
              </w:rPr>
              <w:t xml:space="preserve">Об’єм закупівлі - </w:t>
            </w:r>
            <w:r w:rsidR="00191675" w:rsidRPr="004E557E">
              <w:rPr>
                <w:lang w:val="uk-UA"/>
              </w:rPr>
              <w:t>156347 м.куб</w:t>
            </w:r>
          </w:p>
          <w:p w14:paraId="2A32FC9D" w14:textId="16DAEFA0" w:rsidR="00191675" w:rsidRPr="00A32709" w:rsidRDefault="00191675" w:rsidP="00191675">
            <w:r w:rsidRPr="00A32709">
              <w:t>Ціна за одиницю: 1.3</w:t>
            </w:r>
            <w:r w:rsidR="004E557E">
              <w:rPr>
                <w:lang w:val="uk-UA"/>
              </w:rPr>
              <w:t xml:space="preserve">08 </w:t>
            </w:r>
            <w:r w:rsidRPr="00A32709">
              <w:t>UAH з ПДВ</w:t>
            </w:r>
          </w:p>
          <w:p w14:paraId="65668625" w14:textId="489DF566" w:rsidR="00191675" w:rsidRPr="004E557E" w:rsidRDefault="00191675" w:rsidP="006110EB">
            <w:pPr>
              <w:jc w:val="both"/>
              <w:rPr>
                <w:lang w:val="uk-UA"/>
              </w:rPr>
            </w:pPr>
            <w:r w:rsidRPr="00A32709">
              <w:t>Місце поставки</w:t>
            </w:r>
            <w:r w:rsidR="00845061" w:rsidRPr="00A32709">
              <w:rPr>
                <w:lang w:val="uk-UA"/>
              </w:rPr>
              <w:t xml:space="preserve"> послуг</w:t>
            </w:r>
            <w:r w:rsidRPr="00A32709">
              <w:t>: за місцезнаходженням навчальних закладів та дошкільних заклідів, Лиманський район, с.Крижанівка, с.Фонтанка, с.Олександрівка, с.Нова Дофінівка, с.Світле, Одеська область, 00000, Україна</w:t>
            </w:r>
          </w:p>
        </w:tc>
      </w:tr>
    </w:tbl>
    <w:p w14:paraId="0219F92F" w14:textId="77777777" w:rsidR="00626F67" w:rsidRPr="00C06338" w:rsidRDefault="00626F67" w:rsidP="00626F67">
      <w:pPr>
        <w:rPr>
          <w:lang w:val="uk-UA"/>
        </w:rPr>
      </w:pPr>
    </w:p>
    <w:p w14:paraId="39792A8F" w14:textId="77777777" w:rsidR="00626F67" w:rsidRPr="00C06338" w:rsidRDefault="00626F67" w:rsidP="00626F67">
      <w:pPr>
        <w:rPr>
          <w:lang w:val="uk-UA"/>
        </w:rPr>
      </w:pPr>
    </w:p>
    <w:p w14:paraId="7862896A" w14:textId="77777777" w:rsidR="00626F67" w:rsidRPr="00C06338" w:rsidRDefault="00626F67" w:rsidP="00626F67">
      <w:pPr>
        <w:rPr>
          <w:lang w:val="uk-UA"/>
        </w:rPr>
      </w:pPr>
    </w:p>
    <w:sectPr w:rsidR="00626F67" w:rsidRPr="00C0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F67"/>
    <w:rsid w:val="000B69ED"/>
    <w:rsid w:val="00113BE2"/>
    <w:rsid w:val="00191675"/>
    <w:rsid w:val="0031131F"/>
    <w:rsid w:val="00404790"/>
    <w:rsid w:val="0045236B"/>
    <w:rsid w:val="004D6928"/>
    <w:rsid w:val="004E557E"/>
    <w:rsid w:val="006110EB"/>
    <w:rsid w:val="00626F67"/>
    <w:rsid w:val="006D6073"/>
    <w:rsid w:val="00724F13"/>
    <w:rsid w:val="007E432E"/>
    <w:rsid w:val="00822F8F"/>
    <w:rsid w:val="00845061"/>
    <w:rsid w:val="00A32709"/>
    <w:rsid w:val="00C65A9D"/>
    <w:rsid w:val="00C801E1"/>
    <w:rsid w:val="00DE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44C2"/>
  <w15:docId w15:val="{A4FC5D2F-F58D-487C-AE59-A299A265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26F67"/>
    <w:rPr>
      <w:color w:val="0000FF"/>
      <w:u w:val="single"/>
    </w:rPr>
  </w:style>
  <w:style w:type="character" w:customStyle="1" w:styleId="h-hidden">
    <w:name w:val="h-hidden"/>
    <w:basedOn w:val="a0"/>
    <w:rsid w:val="0062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Освита Пользователь</cp:lastModifiedBy>
  <cp:revision>10</cp:revision>
  <cp:lastPrinted>2022-02-14T10:13:00Z</cp:lastPrinted>
  <dcterms:created xsi:type="dcterms:W3CDTF">2021-12-28T03:43:00Z</dcterms:created>
  <dcterms:modified xsi:type="dcterms:W3CDTF">2022-02-14T12:28:00Z</dcterms:modified>
</cp:coreProperties>
</file>