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35" w:rsidRPr="0000779D" w:rsidRDefault="00E94F35" w:rsidP="00E94F35">
      <w:pPr>
        <w:ind w:firstLine="540"/>
        <w:jc w:val="center"/>
        <w:rPr>
          <w:b/>
          <w:lang w:val="uk-UA"/>
        </w:rPr>
      </w:pPr>
      <w:r w:rsidRPr="0000779D">
        <w:rPr>
          <w:b/>
          <w:lang w:val="uk-UA"/>
        </w:rPr>
        <w:t>ПОЯСНЮВАЛЬНА ЗАПИСКА</w:t>
      </w:r>
    </w:p>
    <w:p w:rsidR="00E94F35" w:rsidRDefault="00E94F35" w:rsidP="00E94F35">
      <w:pPr>
        <w:ind w:firstLine="540"/>
        <w:jc w:val="center"/>
        <w:rPr>
          <w:b/>
          <w:lang w:val="uk-UA"/>
        </w:rPr>
      </w:pPr>
      <w:r w:rsidRPr="0000779D">
        <w:rPr>
          <w:b/>
          <w:lang w:val="uk-UA"/>
        </w:rPr>
        <w:t xml:space="preserve">до фінансового плану КП «Надія» </w:t>
      </w:r>
      <w:proofErr w:type="spellStart"/>
      <w:r w:rsidRPr="0000779D">
        <w:rPr>
          <w:b/>
          <w:lang w:val="uk-UA"/>
        </w:rPr>
        <w:t>Фонтанської</w:t>
      </w:r>
      <w:proofErr w:type="spellEnd"/>
      <w:r w:rsidRPr="0000779D">
        <w:rPr>
          <w:b/>
          <w:lang w:val="uk-UA"/>
        </w:rPr>
        <w:t xml:space="preserve"> сільської ради</w:t>
      </w:r>
    </w:p>
    <w:p w:rsidR="00D77C51" w:rsidRPr="0000779D" w:rsidRDefault="00D77C51" w:rsidP="00E94F35">
      <w:pPr>
        <w:ind w:firstLine="540"/>
        <w:jc w:val="center"/>
        <w:rPr>
          <w:b/>
          <w:lang w:val="uk-UA"/>
        </w:rPr>
      </w:pPr>
      <w:r>
        <w:rPr>
          <w:b/>
          <w:lang w:val="uk-UA"/>
        </w:rPr>
        <w:t>на 202</w:t>
      </w:r>
      <w:r w:rsidR="002713CD">
        <w:rPr>
          <w:b/>
          <w:lang w:val="uk-UA"/>
        </w:rPr>
        <w:t>6</w:t>
      </w:r>
      <w:r>
        <w:rPr>
          <w:b/>
          <w:lang w:val="uk-UA"/>
        </w:rPr>
        <w:t>рік</w:t>
      </w:r>
    </w:p>
    <w:p w:rsidR="00E94F35" w:rsidRPr="0000779D" w:rsidRDefault="00E94F35" w:rsidP="00E94F35">
      <w:pPr>
        <w:ind w:firstLine="540"/>
        <w:jc w:val="center"/>
        <w:rPr>
          <w:lang w:val="uk-UA"/>
        </w:rPr>
      </w:pPr>
    </w:p>
    <w:p w:rsidR="00353EFA" w:rsidRPr="0000779D" w:rsidRDefault="00353EFA" w:rsidP="00353EFA">
      <w:pPr>
        <w:ind w:firstLine="540"/>
        <w:jc w:val="both"/>
        <w:rPr>
          <w:lang w:val="uk-UA"/>
        </w:rPr>
      </w:pPr>
      <w:r w:rsidRPr="0000779D">
        <w:rPr>
          <w:lang w:val="uk-UA"/>
        </w:rPr>
        <w:t>Комунальне підприємство «Надія» Фонт</w:t>
      </w:r>
      <w:r w:rsidR="00B05D37">
        <w:rPr>
          <w:lang w:val="uk-UA"/>
        </w:rPr>
        <w:t xml:space="preserve">анської сільської ради здійснює </w:t>
      </w:r>
      <w:r w:rsidRPr="0000779D">
        <w:rPr>
          <w:lang w:val="uk-UA"/>
        </w:rPr>
        <w:t xml:space="preserve">свою діяльність на підставі Статуту, затвердженого рішенням </w:t>
      </w:r>
      <w:r w:rsidR="00A070D1" w:rsidRPr="0000779D">
        <w:rPr>
          <w:lang w:val="uk-UA"/>
        </w:rPr>
        <w:t>Фонтанської сільської</w:t>
      </w:r>
      <w:r w:rsidRPr="0000779D">
        <w:rPr>
          <w:lang w:val="uk-UA"/>
        </w:rPr>
        <w:t xml:space="preserve"> ради від </w:t>
      </w:r>
      <w:r w:rsidR="00907BF7" w:rsidRPr="0000779D">
        <w:rPr>
          <w:lang w:val="uk-UA"/>
        </w:rPr>
        <w:t>2</w:t>
      </w:r>
      <w:r w:rsidR="002713CD">
        <w:rPr>
          <w:lang w:val="uk-UA"/>
        </w:rPr>
        <w:t>2.05</w:t>
      </w:r>
      <w:r w:rsidR="00907BF7" w:rsidRPr="0000779D">
        <w:rPr>
          <w:lang w:val="uk-UA"/>
        </w:rPr>
        <w:t>.202</w:t>
      </w:r>
      <w:r w:rsidR="002713CD">
        <w:rPr>
          <w:lang w:val="uk-UA"/>
        </w:rPr>
        <w:t>5</w:t>
      </w:r>
      <w:r w:rsidRPr="0000779D">
        <w:rPr>
          <w:lang w:val="uk-UA"/>
        </w:rPr>
        <w:t xml:space="preserve"> № </w:t>
      </w:r>
      <w:r w:rsidR="002713CD">
        <w:rPr>
          <w:lang w:val="uk-UA"/>
        </w:rPr>
        <w:t>3141</w:t>
      </w:r>
      <w:r w:rsidR="00907BF7" w:rsidRPr="0000779D">
        <w:rPr>
          <w:lang w:val="uk-UA"/>
        </w:rPr>
        <w:t>-</w:t>
      </w:r>
      <w:r w:rsidRPr="0000779D">
        <w:rPr>
          <w:lang w:val="en-US"/>
        </w:rPr>
        <w:t>V</w:t>
      </w:r>
      <w:r w:rsidRPr="0000779D">
        <w:rPr>
          <w:lang w:val="uk-UA"/>
        </w:rPr>
        <w:t>І</w:t>
      </w:r>
      <w:r w:rsidR="00907BF7" w:rsidRPr="0000779D">
        <w:rPr>
          <w:lang w:val="uk-UA"/>
        </w:rPr>
        <w:t>І</w:t>
      </w:r>
      <w:r w:rsidRPr="0000779D">
        <w:rPr>
          <w:lang w:val="uk-UA"/>
        </w:rPr>
        <w:t>І.</w:t>
      </w:r>
    </w:p>
    <w:p w:rsidR="00E94F35" w:rsidRPr="0000779D" w:rsidRDefault="00907BF7" w:rsidP="00E94F35">
      <w:pPr>
        <w:ind w:firstLine="540"/>
        <w:jc w:val="both"/>
        <w:rPr>
          <w:lang w:val="uk-UA"/>
        </w:rPr>
      </w:pPr>
      <w:r w:rsidRPr="0000779D">
        <w:rPr>
          <w:lang w:val="uk-UA"/>
        </w:rPr>
        <w:t>Фінансов</w:t>
      </w:r>
      <w:r w:rsidR="00B05D37">
        <w:rPr>
          <w:lang w:val="uk-UA"/>
        </w:rPr>
        <w:t>ий</w:t>
      </w:r>
      <w:r w:rsidRPr="0000779D">
        <w:rPr>
          <w:lang w:val="uk-UA"/>
        </w:rPr>
        <w:t xml:space="preserve"> план</w:t>
      </w:r>
      <w:r w:rsidR="00E94F35" w:rsidRPr="0000779D">
        <w:rPr>
          <w:lang w:val="uk-UA"/>
        </w:rPr>
        <w:t xml:space="preserve"> сформовано на основі прогнозних розрахунків, фактичних даних за </w:t>
      </w:r>
      <w:r w:rsidRPr="0000779D">
        <w:rPr>
          <w:lang w:val="uk-UA"/>
        </w:rPr>
        <w:t xml:space="preserve"> </w:t>
      </w:r>
      <w:r w:rsidR="00E94F35" w:rsidRPr="0000779D">
        <w:rPr>
          <w:lang w:val="uk-UA"/>
        </w:rPr>
        <w:t>20</w:t>
      </w:r>
      <w:r w:rsidR="003F5C5C" w:rsidRPr="0000779D">
        <w:rPr>
          <w:lang w:val="uk-UA"/>
        </w:rPr>
        <w:t>2</w:t>
      </w:r>
      <w:r w:rsidR="002713CD">
        <w:rPr>
          <w:lang w:val="uk-UA"/>
        </w:rPr>
        <w:t>5</w:t>
      </w:r>
      <w:r w:rsidRPr="0000779D">
        <w:rPr>
          <w:lang w:val="uk-UA"/>
        </w:rPr>
        <w:t xml:space="preserve"> </w:t>
      </w:r>
      <w:r w:rsidR="00B74042">
        <w:rPr>
          <w:lang w:val="uk-UA"/>
        </w:rPr>
        <w:t>рік</w:t>
      </w:r>
      <w:r w:rsidR="00E94F35" w:rsidRPr="0000779D">
        <w:rPr>
          <w:lang w:val="uk-UA"/>
        </w:rPr>
        <w:t xml:space="preserve">, потенційної можливості щодо укладання договорів з </w:t>
      </w:r>
      <w:r w:rsidRPr="0000779D">
        <w:rPr>
          <w:lang w:val="uk-UA"/>
        </w:rPr>
        <w:t>абонентами</w:t>
      </w:r>
      <w:r w:rsidR="00E94F35" w:rsidRPr="0000779D">
        <w:rPr>
          <w:lang w:val="uk-UA"/>
        </w:rPr>
        <w:t xml:space="preserve"> (штатний розпис, діючі </w:t>
      </w:r>
      <w:r w:rsidRPr="0000779D">
        <w:rPr>
          <w:lang w:val="uk-UA"/>
        </w:rPr>
        <w:t>тарифи надання послуг</w:t>
      </w:r>
      <w:r w:rsidR="00E94F35" w:rsidRPr="0000779D">
        <w:rPr>
          <w:lang w:val="uk-UA"/>
        </w:rPr>
        <w:t>, матеріали, енергоносії, рівень інфляції, тощо).</w:t>
      </w:r>
    </w:p>
    <w:p w:rsidR="00E94F35" w:rsidRPr="0000779D" w:rsidRDefault="00E94F35" w:rsidP="00907BF7">
      <w:pPr>
        <w:ind w:firstLine="540"/>
        <w:jc w:val="both"/>
        <w:rPr>
          <w:lang w:val="uk-UA"/>
        </w:rPr>
      </w:pPr>
      <w:r w:rsidRPr="0000779D">
        <w:rPr>
          <w:lang w:val="uk-UA"/>
        </w:rPr>
        <w:t xml:space="preserve">Оподаткування прибутку </w:t>
      </w:r>
      <w:r w:rsidR="003F5C5C" w:rsidRPr="0000779D">
        <w:rPr>
          <w:lang w:val="uk-UA"/>
        </w:rPr>
        <w:t>КП «Надія»</w:t>
      </w:r>
      <w:r w:rsidRPr="0000779D">
        <w:rPr>
          <w:lang w:val="uk-UA"/>
        </w:rPr>
        <w:t xml:space="preserve"> за ставкою </w:t>
      </w:r>
      <w:r w:rsidRPr="0000779D">
        <w:rPr>
          <w:b/>
          <w:lang w:val="uk-UA"/>
        </w:rPr>
        <w:t>18%</w:t>
      </w:r>
      <w:r w:rsidRPr="0000779D">
        <w:rPr>
          <w:lang w:val="uk-UA"/>
        </w:rPr>
        <w:t xml:space="preserve">. Довідка про взяття на облік платника податку видана </w:t>
      </w:r>
      <w:proofErr w:type="spellStart"/>
      <w:r w:rsidR="00907BF7" w:rsidRPr="0000779D">
        <w:rPr>
          <w:lang w:val="uk-UA"/>
        </w:rPr>
        <w:t>Лиманською</w:t>
      </w:r>
      <w:proofErr w:type="spellEnd"/>
      <w:r w:rsidR="00907BF7" w:rsidRPr="0000779D">
        <w:rPr>
          <w:lang w:val="uk-UA"/>
        </w:rPr>
        <w:t xml:space="preserve"> </w:t>
      </w:r>
      <w:r w:rsidRPr="0000779D">
        <w:rPr>
          <w:lang w:val="uk-UA"/>
        </w:rPr>
        <w:t xml:space="preserve">Державною податковою інспекцією </w:t>
      </w:r>
      <w:r w:rsidR="00907BF7" w:rsidRPr="0000779D">
        <w:rPr>
          <w:lang w:val="uk-UA"/>
        </w:rPr>
        <w:t>Головного управлінням ДПС в Одеській області 26.04.2011</w:t>
      </w:r>
      <w:r w:rsidRPr="0000779D">
        <w:rPr>
          <w:lang w:val="uk-UA"/>
        </w:rPr>
        <w:t xml:space="preserve"> № </w:t>
      </w:r>
      <w:r w:rsidR="00907BF7" w:rsidRPr="0000779D">
        <w:rPr>
          <w:lang w:val="uk-UA"/>
        </w:rPr>
        <w:t>43142370</w:t>
      </w:r>
      <w:r w:rsidRPr="0000779D">
        <w:rPr>
          <w:lang w:val="uk-UA"/>
        </w:rPr>
        <w:t>.</w:t>
      </w:r>
    </w:p>
    <w:p w:rsidR="00E94F35" w:rsidRPr="0000779D" w:rsidRDefault="00E94F35" w:rsidP="00353EFA">
      <w:pPr>
        <w:ind w:firstLine="540"/>
        <w:jc w:val="both"/>
        <w:rPr>
          <w:lang w:val="uk-UA"/>
        </w:rPr>
      </w:pPr>
      <w:r w:rsidRPr="0000779D">
        <w:rPr>
          <w:lang w:val="uk-UA"/>
        </w:rPr>
        <w:t xml:space="preserve">Ставка податку на додану вартість становить </w:t>
      </w:r>
      <w:r w:rsidRPr="0000779D">
        <w:rPr>
          <w:b/>
        </w:rPr>
        <w:t>20</w:t>
      </w:r>
      <w:r w:rsidRPr="0000779D">
        <w:rPr>
          <w:b/>
          <w:lang w:val="uk-UA"/>
        </w:rPr>
        <w:t xml:space="preserve">%. </w:t>
      </w:r>
      <w:r w:rsidRPr="0000779D">
        <w:rPr>
          <w:lang w:val="uk-UA"/>
        </w:rPr>
        <w:t>Свідоцтво про реєстрацію платника податку на додану вартість №</w:t>
      </w:r>
      <w:r w:rsidR="0067072B" w:rsidRPr="0000779D">
        <w:rPr>
          <w:lang w:val="uk-UA"/>
        </w:rPr>
        <w:t>2115174500047</w:t>
      </w:r>
      <w:r w:rsidRPr="0000779D">
        <w:rPr>
          <w:lang w:val="uk-UA"/>
        </w:rPr>
        <w:t xml:space="preserve"> від </w:t>
      </w:r>
      <w:r w:rsidR="0067072B" w:rsidRPr="0000779D">
        <w:rPr>
          <w:lang w:val="uk-UA"/>
        </w:rPr>
        <w:t>11.06.2021 року</w:t>
      </w:r>
      <w:r w:rsidRPr="0000779D">
        <w:rPr>
          <w:lang w:val="uk-UA"/>
        </w:rPr>
        <w:t xml:space="preserve"> видано </w:t>
      </w:r>
      <w:proofErr w:type="spellStart"/>
      <w:r w:rsidR="0067072B" w:rsidRPr="0000779D">
        <w:rPr>
          <w:lang w:val="uk-UA"/>
        </w:rPr>
        <w:t>Доброславською</w:t>
      </w:r>
      <w:proofErr w:type="spellEnd"/>
      <w:r w:rsidR="0067072B" w:rsidRPr="0000779D">
        <w:rPr>
          <w:lang w:val="uk-UA"/>
        </w:rPr>
        <w:t xml:space="preserve"> Державною податковою інспекцією Головного управлінням ДПС в Одеській області</w:t>
      </w:r>
      <w:r w:rsidRPr="0000779D">
        <w:rPr>
          <w:lang w:val="uk-UA"/>
        </w:rPr>
        <w:t xml:space="preserve"> </w:t>
      </w:r>
      <w:r w:rsidR="0067072B" w:rsidRPr="0000779D">
        <w:rPr>
          <w:lang w:val="uk-UA"/>
        </w:rPr>
        <w:t>.</w:t>
      </w:r>
    </w:p>
    <w:p w:rsidR="00353EFA" w:rsidRPr="0000779D" w:rsidRDefault="00353EFA" w:rsidP="00353EFA">
      <w:pPr>
        <w:ind w:firstLine="540"/>
        <w:jc w:val="both"/>
        <w:rPr>
          <w:lang w:val="uk-UA"/>
        </w:rPr>
      </w:pPr>
      <w:r w:rsidRPr="0000779D">
        <w:rPr>
          <w:b/>
          <w:lang w:val="uk-UA"/>
        </w:rPr>
        <w:t>Підприємство надає наступні послуги:</w:t>
      </w:r>
    </w:p>
    <w:p w:rsidR="00353EFA" w:rsidRPr="0000779D" w:rsidRDefault="00353EFA" w:rsidP="00353EFA">
      <w:pPr>
        <w:shd w:val="clear" w:color="auto" w:fill="FFFFFF"/>
        <w:ind w:firstLine="540"/>
        <w:jc w:val="both"/>
        <w:rPr>
          <w:b/>
          <w:lang w:val="uk-UA"/>
        </w:rPr>
      </w:pPr>
      <w:r w:rsidRPr="0000779D">
        <w:rPr>
          <w:lang w:val="uk-UA"/>
        </w:rPr>
        <w:t xml:space="preserve">централізоване водопостачання та водовідведення населенню, бюджетним установам та іншим споживачам </w:t>
      </w:r>
      <w:r w:rsidR="00A070D1" w:rsidRPr="0000779D">
        <w:rPr>
          <w:lang w:val="uk-UA"/>
        </w:rPr>
        <w:t>Фонтанської ОТГ</w:t>
      </w:r>
      <w:r w:rsidRPr="0000779D">
        <w:rPr>
          <w:lang w:val="uk-UA"/>
        </w:rPr>
        <w:t xml:space="preserve"> на підставі укладених договорів в кількості </w:t>
      </w:r>
      <w:r w:rsidR="0067072B" w:rsidRPr="0000779D">
        <w:rPr>
          <w:lang w:val="uk-UA"/>
        </w:rPr>
        <w:t xml:space="preserve">8165 </w:t>
      </w:r>
      <w:r w:rsidRPr="0000779D">
        <w:rPr>
          <w:lang w:val="uk-UA"/>
        </w:rPr>
        <w:t>абонентів;</w:t>
      </w:r>
    </w:p>
    <w:p w:rsidR="00353EFA" w:rsidRPr="0000779D" w:rsidRDefault="00353EFA" w:rsidP="00353EFA">
      <w:pPr>
        <w:jc w:val="both"/>
        <w:rPr>
          <w:lang w:val="uk-UA"/>
        </w:rPr>
      </w:pPr>
      <w:r w:rsidRPr="0000779D">
        <w:rPr>
          <w:lang w:val="uk-UA"/>
        </w:rPr>
        <w:t xml:space="preserve">         збирання та вивезення ТПВ населенню бюджетним установам та іншим споживачам </w:t>
      </w:r>
      <w:r w:rsidR="00E94F35" w:rsidRPr="0000779D">
        <w:rPr>
          <w:lang w:val="uk-UA"/>
        </w:rPr>
        <w:t>Фонтанської ОТГ,</w:t>
      </w:r>
      <w:r w:rsidRPr="0000779D">
        <w:rPr>
          <w:lang w:val="uk-UA"/>
        </w:rPr>
        <w:t xml:space="preserve"> на підставі укладених договорів в кількості </w:t>
      </w:r>
      <w:r w:rsidR="004E4D27">
        <w:rPr>
          <w:lang w:val="uk-UA"/>
        </w:rPr>
        <w:t>6023</w:t>
      </w:r>
      <w:r w:rsidRPr="0000779D">
        <w:rPr>
          <w:lang w:val="uk-UA"/>
        </w:rPr>
        <w:t xml:space="preserve"> абонентів;</w:t>
      </w:r>
    </w:p>
    <w:p w:rsidR="00353EFA" w:rsidRPr="009A1EE8" w:rsidRDefault="00353EFA" w:rsidP="00353EFA">
      <w:pPr>
        <w:jc w:val="both"/>
        <w:rPr>
          <w:lang w:val="uk-UA"/>
        </w:rPr>
      </w:pPr>
      <w:r w:rsidRPr="0000779D">
        <w:rPr>
          <w:lang w:val="uk-UA"/>
        </w:rPr>
        <w:t xml:space="preserve">         </w:t>
      </w:r>
      <w:r w:rsidRPr="009A1EE8">
        <w:rPr>
          <w:lang w:val="uk-UA"/>
        </w:rPr>
        <w:t xml:space="preserve">послуги </w:t>
      </w:r>
      <w:r w:rsidR="00E94F35" w:rsidRPr="009A1EE8">
        <w:rPr>
          <w:lang w:val="uk-UA"/>
        </w:rPr>
        <w:t>з благоустрою</w:t>
      </w:r>
      <w:r w:rsidRPr="009A1EE8">
        <w:rPr>
          <w:lang w:val="uk-UA"/>
        </w:rPr>
        <w:t xml:space="preserve"> </w:t>
      </w:r>
      <w:r w:rsidR="00E94F35" w:rsidRPr="009A1EE8">
        <w:rPr>
          <w:lang w:val="uk-UA"/>
        </w:rPr>
        <w:t>Фонтанської ОТГ</w:t>
      </w:r>
      <w:r w:rsidRPr="009A1EE8">
        <w:rPr>
          <w:lang w:val="uk-UA"/>
        </w:rPr>
        <w:t>;</w:t>
      </w:r>
    </w:p>
    <w:p w:rsidR="00E94F35" w:rsidRPr="009A1EE8" w:rsidRDefault="00E94F35" w:rsidP="00E94F35">
      <w:pPr>
        <w:ind w:firstLine="540"/>
        <w:jc w:val="both"/>
        <w:rPr>
          <w:b/>
          <w:lang w:val="uk-UA"/>
        </w:rPr>
      </w:pPr>
      <w:r w:rsidRPr="009A1EE8">
        <w:rPr>
          <w:b/>
          <w:lang w:val="uk-UA"/>
        </w:rPr>
        <w:t>Тариф на послуги:</w:t>
      </w:r>
    </w:p>
    <w:p w:rsidR="00907BF7" w:rsidRPr="009A1EE8" w:rsidRDefault="00E94F35" w:rsidP="0067072B">
      <w:pPr>
        <w:pStyle w:val="a5"/>
        <w:numPr>
          <w:ilvl w:val="0"/>
          <w:numId w:val="2"/>
        </w:numPr>
        <w:ind w:left="0" w:firstLine="426"/>
        <w:jc w:val="both"/>
        <w:rPr>
          <w:b/>
          <w:lang w:val="uk-UA"/>
        </w:rPr>
      </w:pPr>
      <w:r w:rsidRPr="009A1EE8">
        <w:rPr>
          <w:lang w:val="uk-UA"/>
        </w:rPr>
        <w:t xml:space="preserve">централізоване водопостачання та водовідведення населенню, бюджетним установам та іншим споживачам затверджені рішенням </w:t>
      </w:r>
      <w:r w:rsidR="00907BF7" w:rsidRPr="009A1EE8">
        <w:rPr>
          <w:lang w:val="uk-UA"/>
        </w:rPr>
        <w:t xml:space="preserve">Виконавчого </w:t>
      </w:r>
      <w:proofErr w:type="spellStart"/>
      <w:r w:rsidR="00907BF7" w:rsidRPr="009A1EE8">
        <w:rPr>
          <w:lang w:val="uk-UA"/>
        </w:rPr>
        <w:t>комітета</w:t>
      </w:r>
      <w:proofErr w:type="spellEnd"/>
      <w:r w:rsidR="00907BF7" w:rsidRPr="009A1EE8">
        <w:rPr>
          <w:lang w:val="uk-UA"/>
        </w:rPr>
        <w:t xml:space="preserve"> </w:t>
      </w:r>
      <w:proofErr w:type="spellStart"/>
      <w:r w:rsidR="00907BF7" w:rsidRPr="009A1EE8">
        <w:rPr>
          <w:lang w:val="uk-UA"/>
        </w:rPr>
        <w:t>Фонтанської</w:t>
      </w:r>
      <w:proofErr w:type="spellEnd"/>
      <w:r w:rsidR="00907BF7" w:rsidRPr="009A1EE8">
        <w:rPr>
          <w:lang w:val="uk-UA"/>
        </w:rPr>
        <w:t xml:space="preserve"> сільської ради</w:t>
      </w:r>
      <w:r w:rsidRPr="009A1EE8">
        <w:rPr>
          <w:lang w:val="uk-UA"/>
        </w:rPr>
        <w:t xml:space="preserve"> від </w:t>
      </w:r>
      <w:r w:rsidR="002713CD" w:rsidRPr="009A1EE8">
        <w:rPr>
          <w:lang w:val="uk-UA"/>
        </w:rPr>
        <w:t>28.07</w:t>
      </w:r>
      <w:r w:rsidR="00907BF7" w:rsidRPr="009A1EE8">
        <w:rPr>
          <w:lang w:val="uk-UA"/>
        </w:rPr>
        <w:t>.202</w:t>
      </w:r>
      <w:r w:rsidR="002713CD" w:rsidRPr="009A1EE8">
        <w:rPr>
          <w:lang w:val="uk-UA"/>
        </w:rPr>
        <w:t>5</w:t>
      </w:r>
      <w:r w:rsidR="00907BF7" w:rsidRPr="009A1EE8">
        <w:rPr>
          <w:lang w:val="uk-UA"/>
        </w:rPr>
        <w:t xml:space="preserve"> року</w:t>
      </w:r>
      <w:r w:rsidRPr="009A1EE8">
        <w:rPr>
          <w:lang w:val="uk-UA"/>
        </w:rPr>
        <w:t xml:space="preserve"> № </w:t>
      </w:r>
      <w:r w:rsidR="002713CD" w:rsidRPr="009A1EE8">
        <w:rPr>
          <w:lang w:val="uk-UA"/>
        </w:rPr>
        <w:t>292</w:t>
      </w:r>
      <w:r w:rsidRPr="009A1EE8">
        <w:rPr>
          <w:lang w:val="uk-UA"/>
        </w:rPr>
        <w:t xml:space="preserve"> «Про </w:t>
      </w:r>
      <w:r w:rsidR="00907BF7" w:rsidRPr="009A1EE8">
        <w:rPr>
          <w:lang w:val="uk-UA"/>
        </w:rPr>
        <w:t>встановлення тарифів на послуги централізованого водопостачання та водовідведення на території Фонтанської сільської ради Одеського району Одеської області»;</w:t>
      </w:r>
    </w:p>
    <w:p w:rsidR="00907BF7" w:rsidRPr="009A1EE8" w:rsidRDefault="00870CA2" w:rsidP="00870CA2">
      <w:pPr>
        <w:pStyle w:val="a5"/>
        <w:numPr>
          <w:ilvl w:val="0"/>
          <w:numId w:val="2"/>
        </w:numPr>
        <w:ind w:left="0" w:firstLine="426"/>
        <w:jc w:val="both"/>
        <w:rPr>
          <w:b/>
          <w:lang w:val="uk-UA"/>
        </w:rPr>
      </w:pPr>
      <w:r w:rsidRPr="009A1EE8">
        <w:rPr>
          <w:lang w:val="uk-UA"/>
        </w:rPr>
        <w:t xml:space="preserve">послуги з поводженням з побутовими відходами населення, бюджетним установам та іншим споживачам затверджені рішенням Виконавчого </w:t>
      </w:r>
      <w:proofErr w:type="spellStart"/>
      <w:r w:rsidRPr="009A1EE8">
        <w:rPr>
          <w:lang w:val="uk-UA"/>
        </w:rPr>
        <w:t>комітета</w:t>
      </w:r>
      <w:proofErr w:type="spellEnd"/>
      <w:r w:rsidRPr="009A1EE8">
        <w:rPr>
          <w:lang w:val="uk-UA"/>
        </w:rPr>
        <w:t xml:space="preserve"> </w:t>
      </w:r>
      <w:proofErr w:type="spellStart"/>
      <w:r w:rsidRPr="009A1EE8">
        <w:rPr>
          <w:lang w:val="uk-UA"/>
        </w:rPr>
        <w:t>Фонтанської</w:t>
      </w:r>
      <w:proofErr w:type="spellEnd"/>
      <w:r w:rsidRPr="009A1EE8">
        <w:rPr>
          <w:lang w:val="uk-UA"/>
        </w:rPr>
        <w:t xml:space="preserve"> сільської ради від </w:t>
      </w:r>
      <w:r w:rsidR="002713CD" w:rsidRPr="009A1EE8">
        <w:rPr>
          <w:lang w:val="uk-UA"/>
        </w:rPr>
        <w:t xml:space="preserve">28.07.2025 року № 291 </w:t>
      </w:r>
      <w:r w:rsidRPr="009A1EE8">
        <w:rPr>
          <w:lang w:val="uk-UA"/>
        </w:rPr>
        <w:t>«Про встановлення тарифів на послуги з поводженням з побутовими відходами на території Фонтанської сільської ради Одеського району Одеської області»;</w:t>
      </w:r>
    </w:p>
    <w:p w:rsidR="00B11178" w:rsidRPr="009B6C12" w:rsidRDefault="00B11178" w:rsidP="00B11178">
      <w:pPr>
        <w:jc w:val="center"/>
        <w:rPr>
          <w:b/>
          <w:lang w:val="uk-UA"/>
        </w:rPr>
      </w:pPr>
      <w:r w:rsidRPr="009A1EE8">
        <w:rPr>
          <w:b/>
          <w:lang w:val="uk-UA"/>
        </w:rPr>
        <w:t>Визначення чинників, що вплинули на планування</w:t>
      </w:r>
      <w:r w:rsidRPr="009B6C12">
        <w:rPr>
          <w:b/>
          <w:lang w:val="uk-UA"/>
        </w:rPr>
        <w:t xml:space="preserve"> основних фінансових </w:t>
      </w:r>
      <w:r w:rsidRPr="009B6C12">
        <w:rPr>
          <w:b/>
        </w:rPr>
        <w:t xml:space="preserve"> </w:t>
      </w:r>
      <w:r w:rsidRPr="009B6C12">
        <w:rPr>
          <w:b/>
          <w:lang w:val="uk-UA"/>
        </w:rPr>
        <w:t>показників</w:t>
      </w:r>
    </w:p>
    <w:p w:rsidR="00B11178" w:rsidRPr="009B6C12" w:rsidRDefault="00B11178" w:rsidP="00B11178">
      <w:pPr>
        <w:pStyle w:val="a3"/>
        <w:jc w:val="center"/>
        <w:rPr>
          <w:b/>
          <w:sz w:val="24"/>
          <w:szCs w:val="24"/>
          <w:lang w:val="uk-UA"/>
        </w:rPr>
      </w:pPr>
      <w:r w:rsidRPr="009B6C12">
        <w:rPr>
          <w:b/>
          <w:sz w:val="24"/>
          <w:szCs w:val="24"/>
          <w:lang w:val="uk-UA"/>
        </w:rPr>
        <w:t>Планування доходів</w:t>
      </w:r>
    </w:p>
    <w:p w:rsidR="00B11178" w:rsidRPr="009B6C12" w:rsidRDefault="00B11178" w:rsidP="00B11178">
      <w:pPr>
        <w:pStyle w:val="a3"/>
        <w:ind w:firstLine="720"/>
        <w:jc w:val="center"/>
        <w:rPr>
          <w:b/>
          <w:sz w:val="24"/>
          <w:szCs w:val="24"/>
          <w:lang w:val="uk-UA"/>
        </w:rPr>
      </w:pPr>
    </w:p>
    <w:p w:rsidR="00A43C5B" w:rsidRDefault="00B11178" w:rsidP="00A43C5B">
      <w:pPr>
        <w:pStyle w:val="a3"/>
        <w:ind w:firstLine="720"/>
        <w:rPr>
          <w:b/>
          <w:sz w:val="24"/>
          <w:szCs w:val="24"/>
          <w:lang w:val="uk-UA"/>
        </w:rPr>
      </w:pPr>
      <w:r w:rsidRPr="009B6C12">
        <w:rPr>
          <w:sz w:val="24"/>
          <w:szCs w:val="24"/>
          <w:lang w:val="uk-UA"/>
        </w:rPr>
        <w:t xml:space="preserve">У </w:t>
      </w:r>
      <w:proofErr w:type="spellStart"/>
      <w:r w:rsidRPr="009B6C12">
        <w:rPr>
          <w:sz w:val="24"/>
          <w:szCs w:val="24"/>
          <w:lang w:val="uk-UA"/>
        </w:rPr>
        <w:t>проєкті</w:t>
      </w:r>
      <w:proofErr w:type="spellEnd"/>
      <w:r w:rsidRPr="009B6C12">
        <w:rPr>
          <w:sz w:val="24"/>
          <w:szCs w:val="24"/>
          <w:lang w:val="uk-UA"/>
        </w:rPr>
        <w:t xml:space="preserve"> фінансового плану на 202</w:t>
      </w:r>
      <w:r w:rsidR="002713CD">
        <w:rPr>
          <w:sz w:val="24"/>
          <w:szCs w:val="24"/>
          <w:lang w:val="uk-UA"/>
        </w:rPr>
        <w:t>6</w:t>
      </w:r>
      <w:r w:rsidRPr="009B6C12">
        <w:rPr>
          <w:sz w:val="24"/>
          <w:szCs w:val="24"/>
          <w:lang w:val="uk-UA"/>
        </w:rPr>
        <w:t xml:space="preserve"> рік заплановано одержання </w:t>
      </w:r>
      <w:r w:rsidRPr="009B6C12">
        <w:rPr>
          <w:b/>
          <w:sz w:val="24"/>
          <w:szCs w:val="24"/>
          <w:lang w:val="uk-UA"/>
        </w:rPr>
        <w:t>усього</w:t>
      </w:r>
      <w:r w:rsidRPr="009B6C12">
        <w:rPr>
          <w:sz w:val="24"/>
          <w:szCs w:val="24"/>
          <w:lang w:val="uk-UA"/>
        </w:rPr>
        <w:t xml:space="preserve"> </w:t>
      </w:r>
      <w:r w:rsidRPr="009B6C12">
        <w:rPr>
          <w:b/>
          <w:sz w:val="24"/>
          <w:szCs w:val="24"/>
          <w:lang w:val="uk-UA"/>
        </w:rPr>
        <w:t xml:space="preserve">доходів </w:t>
      </w:r>
      <w:r w:rsidRPr="009B6C12">
        <w:rPr>
          <w:sz w:val="24"/>
          <w:szCs w:val="24"/>
          <w:lang w:val="uk-UA"/>
        </w:rPr>
        <w:t xml:space="preserve">(рядок </w:t>
      </w:r>
      <w:r w:rsidRPr="009B6C12">
        <w:rPr>
          <w:sz w:val="24"/>
          <w:szCs w:val="24"/>
          <w:lang w:val="ru-RU"/>
        </w:rPr>
        <w:t>1210</w:t>
      </w:r>
      <w:r w:rsidRPr="009B6C12">
        <w:rPr>
          <w:sz w:val="24"/>
          <w:szCs w:val="24"/>
          <w:lang w:val="uk-UA"/>
        </w:rPr>
        <w:t xml:space="preserve">) на загальну суму </w:t>
      </w:r>
      <w:r w:rsidR="002A6158">
        <w:rPr>
          <w:b/>
          <w:sz w:val="24"/>
          <w:szCs w:val="24"/>
          <w:lang w:val="uk-UA"/>
        </w:rPr>
        <w:t>62295,2</w:t>
      </w:r>
      <w:r w:rsidRPr="009B6C12">
        <w:rPr>
          <w:b/>
          <w:sz w:val="24"/>
          <w:szCs w:val="24"/>
          <w:lang w:val="uk-UA"/>
        </w:rPr>
        <w:t xml:space="preserve"> тис. грн.</w:t>
      </w:r>
      <w:r w:rsidRPr="009B6C12">
        <w:rPr>
          <w:sz w:val="24"/>
          <w:szCs w:val="24"/>
          <w:lang w:val="uk-UA"/>
        </w:rPr>
        <w:t>, що становить –</w:t>
      </w:r>
      <w:r w:rsidR="002A6158">
        <w:rPr>
          <w:sz w:val="24"/>
          <w:szCs w:val="24"/>
          <w:lang w:val="uk-UA"/>
        </w:rPr>
        <w:t>113,0</w:t>
      </w:r>
      <w:r w:rsidRPr="009B6C12">
        <w:rPr>
          <w:b/>
          <w:sz w:val="24"/>
          <w:szCs w:val="24"/>
          <w:lang w:val="uk-UA"/>
        </w:rPr>
        <w:t xml:space="preserve"> %</w:t>
      </w:r>
      <w:r w:rsidRPr="009B6C12">
        <w:rPr>
          <w:sz w:val="24"/>
          <w:szCs w:val="24"/>
          <w:lang w:val="uk-UA"/>
        </w:rPr>
        <w:t xml:space="preserve"> до затвердженого плану на 202</w:t>
      </w:r>
      <w:r w:rsidR="002713CD">
        <w:rPr>
          <w:sz w:val="24"/>
          <w:szCs w:val="24"/>
          <w:lang w:val="uk-UA"/>
        </w:rPr>
        <w:t>5</w:t>
      </w:r>
      <w:r w:rsidRPr="009B6C12">
        <w:rPr>
          <w:sz w:val="24"/>
          <w:szCs w:val="24"/>
          <w:lang w:val="uk-UA"/>
        </w:rPr>
        <w:t xml:space="preserve"> рік,</w:t>
      </w:r>
      <w:r w:rsidRPr="009B6C1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uk-UA"/>
        </w:rPr>
        <w:t>збільшення становить</w:t>
      </w:r>
      <w:r w:rsidRPr="009B6C12">
        <w:rPr>
          <w:sz w:val="24"/>
          <w:szCs w:val="24"/>
          <w:lang w:val="uk-UA"/>
        </w:rPr>
        <w:t xml:space="preserve"> </w:t>
      </w:r>
      <w:r w:rsidRPr="009B6C12">
        <w:rPr>
          <w:b/>
          <w:sz w:val="24"/>
          <w:szCs w:val="24"/>
          <w:lang w:val="uk-UA"/>
        </w:rPr>
        <w:t xml:space="preserve">– </w:t>
      </w:r>
      <w:r w:rsidR="002713CD">
        <w:rPr>
          <w:b/>
          <w:sz w:val="24"/>
          <w:szCs w:val="24"/>
          <w:lang w:val="uk-UA"/>
        </w:rPr>
        <w:t>1801,3</w:t>
      </w:r>
      <w:r w:rsidRPr="009B6C12">
        <w:rPr>
          <w:b/>
          <w:sz w:val="24"/>
          <w:szCs w:val="24"/>
          <w:lang w:val="uk-UA"/>
        </w:rPr>
        <w:t xml:space="preserve"> тис.</w:t>
      </w:r>
      <w:r w:rsidRPr="009B6C12">
        <w:rPr>
          <w:b/>
          <w:sz w:val="24"/>
          <w:szCs w:val="24"/>
          <w:lang w:val="ru-RU"/>
        </w:rPr>
        <w:t xml:space="preserve"> </w:t>
      </w:r>
      <w:r w:rsidRPr="009B6C12">
        <w:rPr>
          <w:b/>
          <w:sz w:val="24"/>
          <w:szCs w:val="24"/>
          <w:lang w:val="uk-UA"/>
        </w:rPr>
        <w:t>грн.</w:t>
      </w:r>
    </w:p>
    <w:p w:rsidR="009A422B" w:rsidRPr="0000779D" w:rsidRDefault="009A422B" w:rsidP="009A422B">
      <w:pPr>
        <w:pStyle w:val="a3"/>
        <w:ind w:firstLine="708"/>
        <w:rPr>
          <w:sz w:val="24"/>
          <w:szCs w:val="24"/>
          <w:lang w:val="uk-UA"/>
        </w:rPr>
      </w:pPr>
      <w:r w:rsidRPr="0000779D">
        <w:rPr>
          <w:sz w:val="24"/>
          <w:szCs w:val="24"/>
          <w:lang w:val="uk-UA"/>
        </w:rPr>
        <w:t>Дохід з місцевого бюджету що становить –</w:t>
      </w:r>
      <w:r w:rsidR="002A6158">
        <w:rPr>
          <w:sz w:val="24"/>
          <w:szCs w:val="24"/>
          <w:lang w:val="uk-UA"/>
        </w:rPr>
        <w:t>27597,74</w:t>
      </w:r>
      <w:r w:rsidRPr="0000779D">
        <w:rPr>
          <w:sz w:val="24"/>
          <w:szCs w:val="24"/>
          <w:lang w:val="uk-UA"/>
        </w:rPr>
        <w:t xml:space="preserve"> </w:t>
      </w:r>
      <w:proofErr w:type="spellStart"/>
      <w:r w:rsidRPr="0000779D">
        <w:rPr>
          <w:sz w:val="24"/>
          <w:szCs w:val="24"/>
          <w:lang w:val="uk-UA"/>
        </w:rPr>
        <w:t>тис.грн</w:t>
      </w:r>
      <w:proofErr w:type="spellEnd"/>
      <w:r w:rsidRPr="0000779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 xml:space="preserve">на </w:t>
      </w:r>
      <w:r w:rsidR="007855E0">
        <w:rPr>
          <w:sz w:val="24"/>
          <w:szCs w:val="24"/>
          <w:lang w:val="ru-RU"/>
        </w:rPr>
        <w:t>3</w:t>
      </w:r>
      <w:r w:rsidRPr="0000779D">
        <w:rPr>
          <w:sz w:val="24"/>
          <w:szCs w:val="24"/>
          <w:lang w:val="uk-UA"/>
        </w:rPr>
        <w:t xml:space="preserve"> % </w:t>
      </w:r>
      <w:r w:rsidR="007855E0">
        <w:rPr>
          <w:sz w:val="24"/>
          <w:szCs w:val="24"/>
          <w:lang w:val="uk-UA"/>
        </w:rPr>
        <w:t>більше</w:t>
      </w:r>
      <w:r>
        <w:rPr>
          <w:sz w:val="24"/>
          <w:szCs w:val="24"/>
          <w:lang w:val="uk-UA"/>
        </w:rPr>
        <w:t xml:space="preserve"> ніж </w:t>
      </w:r>
      <w:r w:rsidRPr="0000779D">
        <w:rPr>
          <w:sz w:val="24"/>
          <w:szCs w:val="24"/>
          <w:lang w:val="uk-UA"/>
        </w:rPr>
        <w:t xml:space="preserve"> </w:t>
      </w:r>
      <w:r w:rsidR="007855E0">
        <w:rPr>
          <w:sz w:val="24"/>
          <w:szCs w:val="24"/>
          <w:lang w:val="uk-UA"/>
        </w:rPr>
        <w:t xml:space="preserve">у </w:t>
      </w:r>
      <w:r w:rsidRPr="0000779D">
        <w:rPr>
          <w:sz w:val="24"/>
          <w:szCs w:val="24"/>
          <w:lang w:val="uk-UA"/>
        </w:rPr>
        <w:t>202</w:t>
      </w:r>
      <w:r w:rsidR="002713CD">
        <w:rPr>
          <w:sz w:val="24"/>
          <w:szCs w:val="24"/>
          <w:lang w:val="uk-UA"/>
        </w:rPr>
        <w:t>5</w:t>
      </w:r>
      <w:r w:rsidRPr="0000779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році. </w:t>
      </w:r>
    </w:p>
    <w:p w:rsidR="00B11178" w:rsidRDefault="00B11178" w:rsidP="000A5D50">
      <w:pPr>
        <w:pStyle w:val="a3"/>
        <w:ind w:firstLine="720"/>
        <w:rPr>
          <w:sz w:val="24"/>
          <w:szCs w:val="24"/>
          <w:lang w:val="uk-UA"/>
        </w:rPr>
      </w:pPr>
      <w:r w:rsidRPr="009B6C12">
        <w:rPr>
          <w:sz w:val="24"/>
          <w:szCs w:val="24"/>
          <w:lang w:val="uk-UA"/>
        </w:rPr>
        <w:t>В тому числі,  в 202</w:t>
      </w:r>
      <w:r w:rsidR="002713CD">
        <w:rPr>
          <w:sz w:val="24"/>
          <w:szCs w:val="24"/>
          <w:lang w:val="uk-UA"/>
        </w:rPr>
        <w:t xml:space="preserve">6 </w:t>
      </w:r>
      <w:r w:rsidRPr="009B6C12">
        <w:rPr>
          <w:sz w:val="24"/>
          <w:szCs w:val="24"/>
          <w:lang w:val="uk-UA"/>
        </w:rPr>
        <w:t xml:space="preserve">році планується отримати </w:t>
      </w:r>
      <w:r w:rsidR="002713CD">
        <w:rPr>
          <w:sz w:val="24"/>
          <w:szCs w:val="24"/>
          <w:lang w:val="uk-UA"/>
        </w:rPr>
        <w:t xml:space="preserve">чистий </w:t>
      </w:r>
      <w:r w:rsidRPr="009B6C12">
        <w:rPr>
          <w:sz w:val="24"/>
          <w:szCs w:val="24"/>
          <w:lang w:val="uk-UA"/>
        </w:rPr>
        <w:t>дохід</w:t>
      </w:r>
      <w:r w:rsidR="000A5D50"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  <w:lang w:val="uk-UA"/>
        </w:rPr>
        <w:t>від реалізації</w:t>
      </w:r>
      <w:r w:rsidRPr="00EF014A">
        <w:rPr>
          <w:sz w:val="24"/>
          <w:szCs w:val="24"/>
          <w:lang w:val="ru-RU"/>
        </w:rPr>
        <w:t xml:space="preserve">/ </w:t>
      </w:r>
      <w:proofErr w:type="spellStart"/>
      <w:r w:rsidRPr="00EF014A">
        <w:rPr>
          <w:sz w:val="24"/>
          <w:szCs w:val="24"/>
          <w:lang w:val="ru-RU"/>
        </w:rPr>
        <w:t>послуг</w:t>
      </w:r>
      <w:proofErr w:type="spellEnd"/>
      <w:r w:rsidRPr="009B6C12">
        <w:rPr>
          <w:sz w:val="24"/>
          <w:szCs w:val="24"/>
          <w:lang w:val="uk-UA"/>
        </w:rPr>
        <w:t xml:space="preserve"> (рядок </w:t>
      </w:r>
      <w:r w:rsidRPr="009B6C12">
        <w:rPr>
          <w:sz w:val="24"/>
          <w:szCs w:val="24"/>
          <w:lang w:val="ru-RU"/>
        </w:rPr>
        <w:t>1000</w:t>
      </w:r>
      <w:r w:rsidRPr="009B6C12">
        <w:rPr>
          <w:sz w:val="24"/>
          <w:szCs w:val="24"/>
          <w:lang w:val="uk-UA"/>
        </w:rPr>
        <w:t>) на суму</w:t>
      </w:r>
      <w:r w:rsidRPr="009B6C12">
        <w:rPr>
          <w:sz w:val="24"/>
          <w:szCs w:val="24"/>
          <w:lang w:val="ru-RU"/>
        </w:rPr>
        <w:t xml:space="preserve"> </w:t>
      </w:r>
      <w:r w:rsidR="002713CD">
        <w:rPr>
          <w:b/>
          <w:sz w:val="24"/>
          <w:szCs w:val="24"/>
          <w:lang w:val="ru-RU"/>
        </w:rPr>
        <w:t>31897,5</w:t>
      </w:r>
      <w:r w:rsidRPr="009B6C12">
        <w:rPr>
          <w:b/>
          <w:sz w:val="24"/>
          <w:szCs w:val="24"/>
          <w:lang w:val="uk-UA"/>
        </w:rPr>
        <w:t xml:space="preserve"> тис. грн</w:t>
      </w:r>
      <w:r w:rsidRPr="009B6C12">
        <w:rPr>
          <w:sz w:val="24"/>
          <w:szCs w:val="24"/>
          <w:lang w:val="uk-UA"/>
        </w:rPr>
        <w:t xml:space="preserve">., що становить – </w:t>
      </w:r>
      <w:r w:rsidR="002713CD">
        <w:rPr>
          <w:b/>
          <w:sz w:val="24"/>
          <w:szCs w:val="24"/>
          <w:lang w:val="uk-UA"/>
        </w:rPr>
        <w:t>26,0</w:t>
      </w:r>
      <w:r w:rsidRPr="009B6C12">
        <w:rPr>
          <w:b/>
          <w:sz w:val="24"/>
          <w:szCs w:val="24"/>
          <w:lang w:val="uk-UA"/>
        </w:rPr>
        <w:t xml:space="preserve"> %</w:t>
      </w:r>
      <w:r w:rsidRPr="009B6C12">
        <w:rPr>
          <w:sz w:val="24"/>
          <w:szCs w:val="24"/>
          <w:lang w:val="uk-UA"/>
        </w:rPr>
        <w:t xml:space="preserve"> до затвердженого плану на 202</w:t>
      </w:r>
      <w:r w:rsidR="002713CD">
        <w:rPr>
          <w:sz w:val="24"/>
          <w:szCs w:val="24"/>
          <w:lang w:val="uk-UA"/>
        </w:rPr>
        <w:t>5</w:t>
      </w:r>
      <w:r w:rsidRPr="009B6C12">
        <w:rPr>
          <w:sz w:val="24"/>
          <w:szCs w:val="24"/>
          <w:lang w:val="uk-UA"/>
        </w:rPr>
        <w:t xml:space="preserve"> рік</w:t>
      </w:r>
      <w:r w:rsidR="007855E0">
        <w:rPr>
          <w:sz w:val="24"/>
          <w:szCs w:val="24"/>
          <w:lang w:val="uk-UA"/>
        </w:rPr>
        <w:t xml:space="preserve"> зі змінами</w:t>
      </w:r>
      <w:r w:rsidRPr="009B6C12">
        <w:rPr>
          <w:sz w:val="24"/>
          <w:szCs w:val="24"/>
          <w:lang w:val="uk-UA"/>
        </w:rPr>
        <w:t xml:space="preserve">, тобто </w:t>
      </w:r>
      <w:r>
        <w:rPr>
          <w:sz w:val="24"/>
          <w:szCs w:val="24"/>
          <w:lang w:val="uk-UA"/>
        </w:rPr>
        <w:t>збільшення</w:t>
      </w:r>
      <w:r w:rsidRPr="009B6C12">
        <w:rPr>
          <w:sz w:val="24"/>
          <w:szCs w:val="24"/>
          <w:lang w:val="uk-UA"/>
        </w:rPr>
        <w:t xml:space="preserve">  </w:t>
      </w:r>
      <w:r w:rsidR="002713CD">
        <w:rPr>
          <w:sz w:val="24"/>
          <w:szCs w:val="24"/>
          <w:lang w:val="uk-UA"/>
        </w:rPr>
        <w:t xml:space="preserve">на </w:t>
      </w:r>
      <w:r w:rsidRPr="009B6C12">
        <w:rPr>
          <w:sz w:val="24"/>
          <w:szCs w:val="24"/>
          <w:lang w:val="uk-UA"/>
        </w:rPr>
        <w:t xml:space="preserve"> </w:t>
      </w:r>
      <w:r w:rsidRPr="009B6C12">
        <w:rPr>
          <w:b/>
          <w:sz w:val="24"/>
          <w:szCs w:val="24"/>
          <w:lang w:val="uk-UA"/>
        </w:rPr>
        <w:t xml:space="preserve">– </w:t>
      </w:r>
      <w:r w:rsidR="002713CD">
        <w:rPr>
          <w:b/>
          <w:sz w:val="24"/>
          <w:szCs w:val="24"/>
          <w:lang w:val="uk-UA"/>
        </w:rPr>
        <w:t>6584,7</w:t>
      </w:r>
      <w:r w:rsidRPr="009B6C12">
        <w:rPr>
          <w:b/>
          <w:sz w:val="24"/>
          <w:szCs w:val="24"/>
          <w:lang w:val="uk-UA"/>
        </w:rPr>
        <w:t xml:space="preserve"> тис. грн.</w:t>
      </w:r>
      <w:r w:rsidR="000A5D50">
        <w:rPr>
          <w:sz w:val="24"/>
          <w:szCs w:val="24"/>
          <w:lang w:val="uk-UA"/>
        </w:rPr>
        <w:t xml:space="preserve"> А саме:</w:t>
      </w:r>
    </w:p>
    <w:p w:rsidR="000A5D50" w:rsidRDefault="000A5D50" w:rsidP="000A5D50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 водопостачання – </w:t>
      </w:r>
      <w:r w:rsidR="002713CD">
        <w:rPr>
          <w:sz w:val="24"/>
          <w:szCs w:val="24"/>
          <w:lang w:val="uk-UA"/>
        </w:rPr>
        <w:t>23284,9</w:t>
      </w:r>
      <w:r w:rsidR="00A43C5B">
        <w:rPr>
          <w:sz w:val="24"/>
          <w:szCs w:val="24"/>
          <w:lang w:val="uk-UA"/>
        </w:rPr>
        <w:t xml:space="preserve"> тис. грн</w:t>
      </w:r>
    </w:p>
    <w:p w:rsidR="000A5D50" w:rsidRDefault="000A5D50" w:rsidP="000A5D50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 водовідведення – </w:t>
      </w:r>
      <w:r w:rsidR="002713CD">
        <w:rPr>
          <w:sz w:val="24"/>
          <w:szCs w:val="24"/>
          <w:lang w:val="uk-UA"/>
        </w:rPr>
        <w:t>2880,2</w:t>
      </w:r>
      <w:r w:rsidR="00A43C5B">
        <w:rPr>
          <w:sz w:val="24"/>
          <w:szCs w:val="24"/>
          <w:lang w:val="uk-UA"/>
        </w:rPr>
        <w:t xml:space="preserve"> </w:t>
      </w:r>
      <w:proofErr w:type="spellStart"/>
      <w:r w:rsidR="00A43C5B">
        <w:rPr>
          <w:sz w:val="24"/>
          <w:szCs w:val="24"/>
          <w:lang w:val="uk-UA"/>
        </w:rPr>
        <w:t>тис.грн</w:t>
      </w:r>
      <w:proofErr w:type="spellEnd"/>
    </w:p>
    <w:p w:rsidR="000A5D50" w:rsidRPr="009B6C12" w:rsidRDefault="000A5D50" w:rsidP="000A5D50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 вивозу ТПВ </w:t>
      </w:r>
      <w:r w:rsidR="00A43C5B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="002713CD">
        <w:rPr>
          <w:sz w:val="24"/>
          <w:szCs w:val="24"/>
          <w:lang w:val="uk-UA"/>
        </w:rPr>
        <w:t>5732,4</w:t>
      </w:r>
      <w:r w:rsidR="00A43C5B">
        <w:rPr>
          <w:sz w:val="24"/>
          <w:szCs w:val="24"/>
          <w:lang w:val="uk-UA"/>
        </w:rPr>
        <w:t xml:space="preserve"> </w:t>
      </w:r>
      <w:proofErr w:type="spellStart"/>
      <w:r w:rsidR="00A43C5B">
        <w:rPr>
          <w:sz w:val="24"/>
          <w:szCs w:val="24"/>
          <w:lang w:val="uk-UA"/>
        </w:rPr>
        <w:t>тис.грн</w:t>
      </w:r>
      <w:proofErr w:type="spellEnd"/>
    </w:p>
    <w:p w:rsidR="00655B01" w:rsidRDefault="00CD1D05" w:rsidP="00655B01">
      <w:pPr>
        <w:pStyle w:val="a3"/>
        <w:ind w:firstLine="7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Збільшення</w:t>
      </w:r>
      <w:r w:rsidR="00B11178" w:rsidRPr="009B6C12">
        <w:rPr>
          <w:sz w:val="24"/>
          <w:szCs w:val="24"/>
          <w:lang w:val="uk-UA"/>
        </w:rPr>
        <w:t xml:space="preserve"> планового показника чистого доходу  пов’язане з</w:t>
      </w:r>
      <w:r w:rsidR="00A43C5B">
        <w:rPr>
          <w:sz w:val="24"/>
          <w:szCs w:val="24"/>
          <w:lang w:val="uk-UA"/>
        </w:rPr>
        <w:t xml:space="preserve"> планового розрахунку</w:t>
      </w:r>
      <w:r w:rsidR="00B11178" w:rsidRPr="009B6C12">
        <w:rPr>
          <w:sz w:val="24"/>
          <w:szCs w:val="24"/>
          <w:lang w:val="uk-UA"/>
        </w:rPr>
        <w:t xml:space="preserve"> </w:t>
      </w:r>
      <w:r w:rsidR="00A43C5B">
        <w:rPr>
          <w:sz w:val="24"/>
          <w:szCs w:val="24"/>
          <w:lang w:val="uk-UA"/>
        </w:rPr>
        <w:t>об’ємі</w:t>
      </w:r>
      <w:r w:rsidR="00655B01">
        <w:rPr>
          <w:sz w:val="24"/>
          <w:szCs w:val="24"/>
          <w:lang w:val="uk-UA"/>
        </w:rPr>
        <w:t xml:space="preserve">в надання вищезазначених послуг та збільшенням тарифів на послуги до економічно </w:t>
      </w:r>
      <w:r w:rsidR="00655B01">
        <w:rPr>
          <w:sz w:val="24"/>
          <w:szCs w:val="24"/>
          <w:lang w:val="uk-UA"/>
        </w:rPr>
        <w:lastRenderedPageBreak/>
        <w:t>обґрунтованих, а саме: з водопостачання 1м3-</w:t>
      </w:r>
      <w:r w:rsidR="002713CD">
        <w:rPr>
          <w:sz w:val="24"/>
          <w:szCs w:val="24"/>
          <w:lang w:val="uk-UA"/>
        </w:rPr>
        <w:t>26,20</w:t>
      </w:r>
      <w:r w:rsidR="00655B01">
        <w:rPr>
          <w:sz w:val="24"/>
          <w:szCs w:val="24"/>
          <w:lang w:val="uk-UA"/>
        </w:rPr>
        <w:t xml:space="preserve"> грн, з водовідведення 1м3- </w:t>
      </w:r>
      <w:r w:rsidR="004D79A8">
        <w:rPr>
          <w:sz w:val="24"/>
          <w:szCs w:val="24"/>
          <w:lang w:val="uk-UA"/>
        </w:rPr>
        <w:t>27,30</w:t>
      </w:r>
      <w:r w:rsidR="00655B01">
        <w:rPr>
          <w:sz w:val="24"/>
          <w:szCs w:val="24"/>
          <w:lang w:val="uk-UA"/>
        </w:rPr>
        <w:t xml:space="preserve"> грн, з вивозу твердих побутових відходів за 1 м3- </w:t>
      </w:r>
      <w:r w:rsidR="004D79A8">
        <w:rPr>
          <w:sz w:val="24"/>
          <w:szCs w:val="24"/>
          <w:lang w:val="uk-UA"/>
        </w:rPr>
        <w:t>177,71</w:t>
      </w:r>
      <w:r w:rsidR="00655B01">
        <w:rPr>
          <w:sz w:val="24"/>
          <w:szCs w:val="24"/>
          <w:lang w:val="uk-UA"/>
        </w:rPr>
        <w:t xml:space="preserve"> грн.</w:t>
      </w:r>
    </w:p>
    <w:p w:rsidR="00B11178" w:rsidRDefault="00B11178" w:rsidP="00B11178">
      <w:pPr>
        <w:pStyle w:val="a3"/>
        <w:ind w:firstLine="720"/>
        <w:rPr>
          <w:sz w:val="24"/>
          <w:szCs w:val="24"/>
          <w:lang w:val="uk-UA"/>
        </w:rPr>
      </w:pPr>
    </w:p>
    <w:p w:rsidR="00B11178" w:rsidRPr="00655B01" w:rsidRDefault="00A43C5B" w:rsidP="00A43C5B">
      <w:pPr>
        <w:pStyle w:val="a3"/>
        <w:ind w:firstLine="720"/>
        <w:rPr>
          <w:sz w:val="24"/>
          <w:szCs w:val="24"/>
          <w:lang w:val="uk-UA"/>
        </w:rPr>
      </w:pPr>
      <w:r w:rsidRPr="00655B01">
        <w:rPr>
          <w:sz w:val="24"/>
          <w:szCs w:val="24"/>
          <w:lang w:val="uk-UA"/>
        </w:rPr>
        <w:t xml:space="preserve">Але враховуючи економічну ситуацію в країні, яка склалася в наслідок збройної агресії </w:t>
      </w:r>
      <w:r w:rsidRPr="00655B01">
        <w:rPr>
          <w:bCs/>
          <w:sz w:val="24"/>
          <w:szCs w:val="24"/>
          <w:lang w:val="uk-UA"/>
        </w:rPr>
        <w:t xml:space="preserve"> Російської федерації значно </w:t>
      </w:r>
      <w:r w:rsidRPr="00655B01">
        <w:rPr>
          <w:sz w:val="24"/>
          <w:szCs w:val="24"/>
          <w:lang w:val="uk-UA"/>
        </w:rPr>
        <w:t>з</w:t>
      </w:r>
      <w:r w:rsidRPr="00655B01">
        <w:rPr>
          <w:bCs/>
          <w:sz w:val="24"/>
          <w:szCs w:val="24"/>
          <w:lang w:val="uk-UA"/>
        </w:rPr>
        <w:t xml:space="preserve">меншалась  платоспроможність населення. А також збільшились </w:t>
      </w:r>
      <w:r w:rsidR="00CD1D05" w:rsidRPr="00655B01">
        <w:rPr>
          <w:spacing w:val="-2"/>
          <w:sz w:val="24"/>
          <w:szCs w:val="24"/>
          <w:lang w:val="uk-UA"/>
        </w:rPr>
        <w:t>витрат</w:t>
      </w:r>
      <w:r w:rsidRPr="00655B01">
        <w:rPr>
          <w:spacing w:val="-2"/>
          <w:sz w:val="24"/>
          <w:szCs w:val="24"/>
          <w:lang w:val="uk-UA"/>
        </w:rPr>
        <w:t>и</w:t>
      </w:r>
      <w:r w:rsidR="00CD1D05" w:rsidRPr="00655B01">
        <w:rPr>
          <w:spacing w:val="-2"/>
          <w:sz w:val="24"/>
          <w:szCs w:val="24"/>
          <w:lang w:val="uk-UA"/>
        </w:rPr>
        <w:t xml:space="preserve"> на паливо-мастильні матеріали, запчастини, матеріали для ремонту та </w:t>
      </w:r>
      <w:proofErr w:type="spellStart"/>
      <w:r w:rsidR="00CD1D05" w:rsidRPr="00655B01">
        <w:rPr>
          <w:spacing w:val="-2"/>
          <w:sz w:val="24"/>
          <w:szCs w:val="24"/>
          <w:lang w:val="uk-UA"/>
        </w:rPr>
        <w:t>інш</w:t>
      </w:r>
      <w:proofErr w:type="spellEnd"/>
      <w:r w:rsidR="00CD1D05" w:rsidRPr="00655B01">
        <w:rPr>
          <w:spacing w:val="-2"/>
          <w:sz w:val="24"/>
          <w:szCs w:val="24"/>
          <w:lang w:val="uk-UA"/>
        </w:rPr>
        <w:t>.</w:t>
      </w:r>
      <w:r w:rsidRPr="00655B01">
        <w:rPr>
          <w:spacing w:val="-2"/>
          <w:sz w:val="24"/>
          <w:szCs w:val="24"/>
          <w:lang w:val="uk-UA"/>
        </w:rPr>
        <w:t xml:space="preserve">, </w:t>
      </w:r>
    </w:p>
    <w:p w:rsidR="00B11178" w:rsidRPr="009B6C12" w:rsidRDefault="00B11178" w:rsidP="00B11178">
      <w:pPr>
        <w:ind w:firstLine="567"/>
        <w:jc w:val="both"/>
        <w:rPr>
          <w:lang w:val="uk-UA"/>
        </w:rPr>
      </w:pPr>
      <w:r w:rsidRPr="00EF014A">
        <w:rPr>
          <w:lang w:val="uk-UA" w:eastAsia="uk-UA"/>
        </w:rPr>
        <w:t>Г</w:t>
      </w:r>
      <w:r w:rsidRPr="009B6C12">
        <w:rPr>
          <w:lang w:val="uk-UA" w:eastAsia="uk-UA"/>
        </w:rPr>
        <w:t xml:space="preserve">осподарська діяльність підприємства напряму залежить від реального стану економіки України в цілому та окремих її галузей, оскільки надання послуг підприємством залежить від фінансової спроможності </w:t>
      </w:r>
      <w:r w:rsidR="00CD1D05">
        <w:rPr>
          <w:lang w:val="uk-UA" w:eastAsia="uk-UA"/>
        </w:rPr>
        <w:t>споживачів цих послуг.</w:t>
      </w:r>
      <w:r w:rsidRPr="009B6C12">
        <w:rPr>
          <w:lang w:val="uk-UA"/>
        </w:rPr>
        <w:t xml:space="preserve"> </w:t>
      </w:r>
    </w:p>
    <w:p w:rsidR="00B11178" w:rsidRPr="009B6C12" w:rsidRDefault="00B11178" w:rsidP="00B11178">
      <w:pPr>
        <w:pStyle w:val="a3"/>
        <w:ind w:firstLine="720"/>
        <w:rPr>
          <w:sz w:val="24"/>
          <w:szCs w:val="24"/>
          <w:lang w:val="uk-UA"/>
        </w:rPr>
      </w:pPr>
      <w:r w:rsidRPr="009B6C12">
        <w:rPr>
          <w:sz w:val="24"/>
          <w:szCs w:val="24"/>
          <w:lang w:val="uk-UA"/>
        </w:rPr>
        <w:t xml:space="preserve">Для збільшення доходів від </w:t>
      </w:r>
      <w:r w:rsidR="00CD1D05">
        <w:rPr>
          <w:sz w:val="24"/>
          <w:szCs w:val="24"/>
          <w:lang w:val="uk-UA"/>
        </w:rPr>
        <w:t xml:space="preserve">надання </w:t>
      </w:r>
      <w:r w:rsidRPr="009B6C12">
        <w:rPr>
          <w:sz w:val="24"/>
          <w:szCs w:val="24"/>
          <w:lang w:val="uk-UA"/>
        </w:rPr>
        <w:t xml:space="preserve">послуг планується </w:t>
      </w:r>
      <w:r w:rsidR="00CD1D05" w:rsidRPr="00D3047A">
        <w:rPr>
          <w:sz w:val="24"/>
          <w:szCs w:val="24"/>
          <w:lang w:val="uk-UA"/>
        </w:rPr>
        <w:t>від збільшення тарифів до економічно обґрунтованих показників.</w:t>
      </w:r>
    </w:p>
    <w:p w:rsidR="00C66FC8" w:rsidRPr="0000779D" w:rsidRDefault="00C66FC8" w:rsidP="00C66FC8">
      <w:pPr>
        <w:pStyle w:val="a3"/>
        <w:jc w:val="center"/>
        <w:rPr>
          <w:b/>
          <w:sz w:val="24"/>
          <w:szCs w:val="24"/>
          <w:lang w:val="uk-UA"/>
        </w:rPr>
      </w:pPr>
      <w:r w:rsidRPr="0000779D">
        <w:rPr>
          <w:b/>
          <w:sz w:val="24"/>
          <w:szCs w:val="24"/>
          <w:lang w:val="uk-UA"/>
        </w:rPr>
        <w:t>Планування видатків</w:t>
      </w:r>
    </w:p>
    <w:p w:rsidR="00A50E1E" w:rsidRDefault="009A422B" w:rsidP="00C66FC8">
      <w:pPr>
        <w:ind w:firstLine="709"/>
        <w:jc w:val="both"/>
        <w:rPr>
          <w:lang w:val="uk-UA"/>
        </w:rPr>
      </w:pPr>
      <w:r w:rsidRPr="009B6C12">
        <w:rPr>
          <w:lang w:val="uk-UA"/>
        </w:rPr>
        <w:t xml:space="preserve">У </w:t>
      </w:r>
      <w:r w:rsidR="00D3047A" w:rsidRPr="009B6C12">
        <w:rPr>
          <w:lang w:val="uk-UA"/>
        </w:rPr>
        <w:t>проекті</w:t>
      </w:r>
      <w:r w:rsidRPr="009B6C12">
        <w:rPr>
          <w:lang w:val="uk-UA"/>
        </w:rPr>
        <w:t xml:space="preserve"> фінансового плану на 202</w:t>
      </w:r>
      <w:r w:rsidR="004D79A8">
        <w:rPr>
          <w:lang w:val="uk-UA"/>
        </w:rPr>
        <w:t>6</w:t>
      </w:r>
      <w:r w:rsidRPr="009B6C12">
        <w:rPr>
          <w:lang w:val="uk-UA"/>
        </w:rPr>
        <w:t xml:space="preserve"> рік заплановано </w:t>
      </w:r>
      <w:r>
        <w:rPr>
          <w:lang w:val="uk-UA"/>
        </w:rPr>
        <w:t>видатків</w:t>
      </w:r>
      <w:r w:rsidRPr="009B6C12">
        <w:rPr>
          <w:b/>
          <w:lang w:val="uk-UA"/>
        </w:rPr>
        <w:t xml:space="preserve"> </w:t>
      </w:r>
      <w:r w:rsidRPr="009B6C12">
        <w:rPr>
          <w:lang w:val="uk-UA"/>
        </w:rPr>
        <w:t xml:space="preserve">(рядок </w:t>
      </w:r>
      <w:r>
        <w:t>122</w:t>
      </w:r>
      <w:r w:rsidRPr="009B6C12">
        <w:t>0</w:t>
      </w:r>
      <w:r w:rsidRPr="009B6C12">
        <w:rPr>
          <w:lang w:val="uk-UA"/>
        </w:rPr>
        <w:t xml:space="preserve">) на загальну суму </w:t>
      </w:r>
      <w:r w:rsidR="00F57C41">
        <w:rPr>
          <w:b/>
          <w:lang w:val="uk-UA"/>
        </w:rPr>
        <w:t>62131,0</w:t>
      </w:r>
      <w:r w:rsidRPr="009B6C12">
        <w:rPr>
          <w:b/>
          <w:lang w:val="uk-UA"/>
        </w:rPr>
        <w:t xml:space="preserve"> тис. грн.</w:t>
      </w:r>
      <w:r w:rsidRPr="009B6C12">
        <w:rPr>
          <w:lang w:val="uk-UA"/>
        </w:rPr>
        <w:t xml:space="preserve">, </w:t>
      </w:r>
      <w:r>
        <w:rPr>
          <w:lang w:val="uk-UA"/>
        </w:rPr>
        <w:t>на</w:t>
      </w:r>
      <w:r w:rsidR="00A50E1E">
        <w:rPr>
          <w:lang w:val="uk-UA"/>
        </w:rPr>
        <w:t xml:space="preserve"> </w:t>
      </w:r>
      <w:r w:rsidR="00F57C41">
        <w:rPr>
          <w:lang w:val="uk-UA"/>
        </w:rPr>
        <w:t>1</w:t>
      </w:r>
      <w:r w:rsidR="007855E0">
        <w:rPr>
          <w:lang w:val="uk-UA"/>
        </w:rPr>
        <w:t>4,9</w:t>
      </w:r>
      <w:bookmarkStart w:id="0" w:name="_GoBack"/>
      <w:bookmarkEnd w:id="0"/>
      <w:r w:rsidR="00A50E1E">
        <w:rPr>
          <w:lang w:val="uk-UA"/>
        </w:rPr>
        <w:t xml:space="preserve">% </w:t>
      </w:r>
      <w:r w:rsidR="00655B01">
        <w:rPr>
          <w:lang w:val="uk-UA"/>
        </w:rPr>
        <w:t>більше</w:t>
      </w:r>
      <w:r w:rsidR="00D77C51">
        <w:rPr>
          <w:lang w:val="uk-UA"/>
        </w:rPr>
        <w:t xml:space="preserve"> в порівнянні </w:t>
      </w:r>
      <w:r w:rsidR="00A50E1E">
        <w:rPr>
          <w:lang w:val="uk-UA"/>
        </w:rPr>
        <w:t xml:space="preserve">з </w:t>
      </w:r>
      <w:r w:rsidR="004D79A8">
        <w:rPr>
          <w:lang w:val="uk-UA"/>
        </w:rPr>
        <w:t>плановим 2025 роком</w:t>
      </w:r>
      <w:r w:rsidR="00A50E1E">
        <w:rPr>
          <w:lang w:val="uk-UA"/>
        </w:rPr>
        <w:t>.</w:t>
      </w:r>
    </w:p>
    <w:p w:rsidR="00A50E1E" w:rsidRDefault="00A50E1E" w:rsidP="00A50E1E">
      <w:pPr>
        <w:jc w:val="center"/>
        <w:rPr>
          <w:b/>
          <w:bCs/>
          <w:iCs/>
          <w:lang w:val="uk-UA"/>
        </w:rPr>
      </w:pPr>
    </w:p>
    <w:p w:rsidR="00A50E1E" w:rsidRPr="009B6C12" w:rsidRDefault="00A50E1E" w:rsidP="00A50E1E">
      <w:pPr>
        <w:jc w:val="center"/>
        <w:rPr>
          <w:b/>
          <w:bCs/>
          <w:iCs/>
          <w:lang w:val="uk-UA"/>
        </w:rPr>
      </w:pPr>
      <w:r w:rsidRPr="009B6C12">
        <w:rPr>
          <w:b/>
          <w:bCs/>
          <w:iCs/>
          <w:lang w:val="uk-UA"/>
        </w:rPr>
        <w:t>Структура витрат 20</w:t>
      </w:r>
      <w:r>
        <w:rPr>
          <w:b/>
          <w:bCs/>
          <w:iCs/>
          <w:lang w:val="uk-UA"/>
        </w:rPr>
        <w:t>2</w:t>
      </w:r>
      <w:r w:rsidR="00F16609">
        <w:rPr>
          <w:b/>
          <w:bCs/>
          <w:iCs/>
          <w:lang w:val="uk-UA"/>
        </w:rPr>
        <w:t>4</w:t>
      </w:r>
      <w:r w:rsidRPr="009B6C12">
        <w:rPr>
          <w:b/>
          <w:bCs/>
          <w:iCs/>
          <w:lang w:val="uk-UA"/>
        </w:rPr>
        <w:t xml:space="preserve"> – 202</w:t>
      </w:r>
      <w:r w:rsidR="00F16609">
        <w:rPr>
          <w:b/>
          <w:bCs/>
          <w:iCs/>
          <w:lang w:val="uk-UA"/>
        </w:rPr>
        <w:t>6</w:t>
      </w:r>
      <w:r w:rsidRPr="009B6C12">
        <w:rPr>
          <w:b/>
          <w:bCs/>
          <w:iCs/>
          <w:lang w:val="uk-UA"/>
        </w:rPr>
        <w:t xml:space="preserve"> рр.</w:t>
      </w:r>
    </w:p>
    <w:p w:rsidR="00A50E1E" w:rsidRPr="009B6C12" w:rsidRDefault="00A50E1E" w:rsidP="00A50E1E">
      <w:pPr>
        <w:jc w:val="right"/>
        <w:rPr>
          <w:b/>
          <w:bCs/>
          <w:i/>
          <w:lang w:val="uk-UA"/>
        </w:rPr>
      </w:pPr>
      <w:proofErr w:type="spellStart"/>
      <w:r w:rsidRPr="009B6C12">
        <w:rPr>
          <w:b/>
          <w:bCs/>
          <w:i/>
          <w:lang w:val="uk-UA"/>
        </w:rPr>
        <w:t>тис.грн</w:t>
      </w:r>
      <w:proofErr w:type="spellEnd"/>
    </w:p>
    <w:tbl>
      <w:tblPr>
        <w:tblW w:w="9632" w:type="dxa"/>
        <w:tblInd w:w="113" w:type="dxa"/>
        <w:tblLook w:val="04A0" w:firstRow="1" w:lastRow="0" w:firstColumn="1" w:lastColumn="0" w:noHBand="0" w:noVBand="1"/>
      </w:tblPr>
      <w:tblGrid>
        <w:gridCol w:w="2510"/>
        <w:gridCol w:w="1293"/>
        <w:gridCol w:w="1013"/>
        <w:gridCol w:w="1020"/>
        <w:gridCol w:w="1134"/>
        <w:gridCol w:w="1243"/>
        <w:gridCol w:w="1419"/>
      </w:tblGrid>
      <w:tr w:rsidR="00A50E1E" w:rsidRPr="009B6C12" w:rsidTr="00BE3C2A">
        <w:trPr>
          <w:trHeight w:val="446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A50E1E" w:rsidRPr="009B6C12" w:rsidRDefault="00A50E1E" w:rsidP="00BE3C2A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9B6C12">
              <w:rPr>
                <w:sz w:val="22"/>
                <w:szCs w:val="22"/>
                <w:lang w:val="uk-UA" w:eastAsia="uk-UA"/>
              </w:rPr>
              <w:t xml:space="preserve">Структура витрат              </w:t>
            </w:r>
          </w:p>
        </w:tc>
        <w:tc>
          <w:tcPr>
            <w:tcW w:w="7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A50E1E" w:rsidRPr="009B6C12" w:rsidRDefault="00A50E1E" w:rsidP="00BE3C2A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9B6C12">
              <w:rPr>
                <w:sz w:val="22"/>
                <w:szCs w:val="22"/>
                <w:lang w:val="uk-UA" w:eastAsia="uk-UA"/>
              </w:rPr>
              <w:t>Витрати за роками</w:t>
            </w:r>
          </w:p>
        </w:tc>
      </w:tr>
      <w:tr w:rsidR="00A50E1E" w:rsidRPr="009B6C12" w:rsidTr="00365BBD">
        <w:trPr>
          <w:trHeight w:val="628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E1E" w:rsidRPr="009B6C12" w:rsidRDefault="00A50E1E" w:rsidP="00BE3C2A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A50E1E" w:rsidRPr="009B6C12" w:rsidRDefault="00A50E1E" w:rsidP="004D79A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9B6C12">
              <w:rPr>
                <w:sz w:val="22"/>
                <w:szCs w:val="22"/>
                <w:lang w:val="uk-UA" w:eastAsia="uk-UA"/>
              </w:rPr>
              <w:t>20</w:t>
            </w:r>
            <w:r>
              <w:rPr>
                <w:sz w:val="22"/>
                <w:szCs w:val="22"/>
                <w:lang w:val="uk-UA" w:eastAsia="uk-UA"/>
              </w:rPr>
              <w:t>2</w:t>
            </w:r>
            <w:r w:rsidR="004D79A8"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A50E1E" w:rsidRPr="009B6C12" w:rsidRDefault="00A50E1E" w:rsidP="004D79A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9B6C12">
              <w:rPr>
                <w:sz w:val="22"/>
                <w:szCs w:val="22"/>
                <w:lang w:val="uk-UA" w:eastAsia="uk-UA"/>
              </w:rPr>
              <w:t>20</w:t>
            </w:r>
            <w:r w:rsidR="004D79A8">
              <w:rPr>
                <w:sz w:val="22"/>
                <w:szCs w:val="22"/>
                <w:lang w:val="uk-UA" w:eastAsia="uk-UA"/>
              </w:rPr>
              <w:t>25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A50E1E" w:rsidRPr="009B6C12" w:rsidRDefault="00A50E1E" w:rsidP="004D79A8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202</w:t>
            </w:r>
            <w:r w:rsidR="004D79A8">
              <w:rPr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3F3F3"/>
            <w:vAlign w:val="center"/>
            <w:hideMark/>
          </w:tcPr>
          <w:p w:rsidR="00A50E1E" w:rsidRPr="009B6C12" w:rsidRDefault="00A50E1E" w:rsidP="00BE3C2A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9B6C12">
              <w:rPr>
                <w:sz w:val="22"/>
                <w:szCs w:val="22"/>
                <w:lang w:val="uk-UA" w:eastAsia="uk-UA"/>
              </w:rPr>
              <w:t xml:space="preserve">Відхилення </w:t>
            </w:r>
          </w:p>
        </w:tc>
      </w:tr>
      <w:tr w:rsidR="00365BBD" w:rsidRPr="009B6C12" w:rsidTr="00365BBD">
        <w:trPr>
          <w:trHeight w:val="1685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BD" w:rsidRPr="009B6C12" w:rsidRDefault="00365BBD" w:rsidP="00BE3C2A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365BBD" w:rsidRPr="009B6C12" w:rsidRDefault="00365BBD" w:rsidP="00BE3C2A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9B6C12">
              <w:rPr>
                <w:sz w:val="22"/>
                <w:szCs w:val="22"/>
                <w:lang w:val="uk-UA" w:eastAsia="uk-UA"/>
              </w:rPr>
              <w:t>факт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365BBD" w:rsidRPr="009B6C12" w:rsidRDefault="00365BBD" w:rsidP="00BE3C2A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9B6C12">
              <w:rPr>
                <w:sz w:val="22"/>
                <w:szCs w:val="22"/>
                <w:lang w:val="uk-UA" w:eastAsia="uk-UA"/>
              </w:rPr>
              <w:t>план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365BBD" w:rsidRPr="009B6C12" w:rsidRDefault="00365BBD" w:rsidP="00BE3C2A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9B6C12">
              <w:rPr>
                <w:sz w:val="22"/>
                <w:szCs w:val="22"/>
                <w:lang w:val="uk-UA" w:eastAsia="uk-UA"/>
              </w:rPr>
              <w:t>очік</w:t>
            </w:r>
            <w:proofErr w:type="spellEnd"/>
            <w:r w:rsidRPr="009B6C12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365BBD" w:rsidRPr="009B6C12" w:rsidRDefault="00365BBD" w:rsidP="00BE3C2A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9B6C12">
              <w:rPr>
                <w:sz w:val="22"/>
                <w:szCs w:val="22"/>
                <w:lang w:val="uk-UA" w:eastAsia="uk-UA"/>
              </w:rPr>
              <w:t>проєкт</w:t>
            </w:r>
            <w:proofErr w:type="spellEnd"/>
            <w:r w:rsidRPr="009B6C12">
              <w:rPr>
                <w:sz w:val="22"/>
                <w:szCs w:val="22"/>
                <w:lang w:val="uk-UA" w:eastAsia="uk-UA"/>
              </w:rPr>
              <w:t xml:space="preserve"> плану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365BBD" w:rsidRPr="009B6C12" w:rsidRDefault="00365BBD" w:rsidP="00F219DB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9B6C12">
              <w:rPr>
                <w:sz w:val="22"/>
                <w:szCs w:val="22"/>
                <w:lang w:val="uk-UA" w:eastAsia="uk-UA"/>
              </w:rPr>
              <w:t>проєкт</w:t>
            </w:r>
            <w:proofErr w:type="spellEnd"/>
            <w:r w:rsidRPr="009B6C12">
              <w:rPr>
                <w:sz w:val="22"/>
                <w:szCs w:val="22"/>
                <w:lang w:val="uk-UA" w:eastAsia="uk-UA"/>
              </w:rPr>
              <w:t xml:space="preserve"> плану до факту 20</w:t>
            </w:r>
            <w:r>
              <w:rPr>
                <w:sz w:val="22"/>
                <w:szCs w:val="22"/>
                <w:lang w:val="uk-UA" w:eastAsia="uk-UA"/>
              </w:rPr>
              <w:t>2</w:t>
            </w:r>
            <w:r w:rsidR="00F219DB">
              <w:rPr>
                <w:sz w:val="22"/>
                <w:szCs w:val="22"/>
                <w:lang w:val="uk-UA" w:eastAsia="uk-UA"/>
              </w:rPr>
              <w:t>4</w:t>
            </w:r>
            <w:r w:rsidRPr="009B6C12">
              <w:rPr>
                <w:sz w:val="22"/>
                <w:szCs w:val="22"/>
                <w:lang w:val="uk-UA" w:eastAsia="uk-UA"/>
              </w:rPr>
              <w:t>, 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365BBD" w:rsidRPr="009B6C12" w:rsidRDefault="00365BBD" w:rsidP="00F219DB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9B6C12">
              <w:rPr>
                <w:sz w:val="22"/>
                <w:szCs w:val="22"/>
                <w:lang w:val="uk-UA" w:eastAsia="uk-UA"/>
              </w:rPr>
              <w:t>проєкт</w:t>
            </w:r>
            <w:proofErr w:type="spellEnd"/>
            <w:r w:rsidRPr="009B6C12">
              <w:rPr>
                <w:sz w:val="22"/>
                <w:szCs w:val="22"/>
                <w:lang w:val="uk-UA" w:eastAsia="uk-UA"/>
              </w:rPr>
              <w:t xml:space="preserve"> плану до плану 202</w:t>
            </w:r>
            <w:r w:rsidR="00F219DB">
              <w:rPr>
                <w:sz w:val="22"/>
                <w:szCs w:val="22"/>
                <w:lang w:val="uk-UA" w:eastAsia="uk-UA"/>
              </w:rPr>
              <w:t>5</w:t>
            </w:r>
            <w:r w:rsidRPr="009B6C12">
              <w:rPr>
                <w:sz w:val="22"/>
                <w:szCs w:val="22"/>
                <w:lang w:val="uk-UA" w:eastAsia="uk-UA"/>
              </w:rPr>
              <w:t>, %</w:t>
            </w:r>
          </w:p>
        </w:tc>
      </w:tr>
      <w:tr w:rsidR="00365BBD" w:rsidRPr="009B6C12" w:rsidTr="00365BBD">
        <w:trPr>
          <w:trHeight w:val="221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365BBD" w:rsidRPr="009B6C12" w:rsidRDefault="00365BBD" w:rsidP="00BE3C2A">
            <w:pPr>
              <w:jc w:val="center"/>
              <w:rPr>
                <w:i/>
                <w:sz w:val="16"/>
                <w:szCs w:val="16"/>
                <w:lang w:val="uk-UA" w:eastAsia="uk-UA"/>
              </w:rPr>
            </w:pPr>
            <w:r w:rsidRPr="009B6C12">
              <w:rPr>
                <w:i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365BBD" w:rsidRPr="009B6C12" w:rsidRDefault="00365BBD" w:rsidP="00BE3C2A">
            <w:pPr>
              <w:jc w:val="center"/>
              <w:rPr>
                <w:i/>
                <w:sz w:val="16"/>
                <w:szCs w:val="16"/>
                <w:lang w:val="uk-UA" w:eastAsia="uk-UA"/>
              </w:rPr>
            </w:pPr>
            <w:r w:rsidRPr="009B6C12">
              <w:rPr>
                <w:i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365BBD" w:rsidRPr="009B6C12" w:rsidRDefault="00365BBD" w:rsidP="00BE3C2A">
            <w:pPr>
              <w:jc w:val="center"/>
              <w:rPr>
                <w:i/>
                <w:sz w:val="16"/>
                <w:szCs w:val="16"/>
                <w:lang w:val="uk-UA" w:eastAsia="uk-UA"/>
              </w:rPr>
            </w:pPr>
            <w:r w:rsidRPr="009B6C12">
              <w:rPr>
                <w:i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365BBD" w:rsidRPr="009B6C12" w:rsidRDefault="00365BBD" w:rsidP="00BE3C2A">
            <w:pPr>
              <w:jc w:val="center"/>
              <w:rPr>
                <w:i/>
                <w:sz w:val="16"/>
                <w:szCs w:val="16"/>
                <w:lang w:val="uk-UA" w:eastAsia="uk-UA"/>
              </w:rPr>
            </w:pPr>
            <w:r w:rsidRPr="009B6C12">
              <w:rPr>
                <w:i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365BBD" w:rsidRPr="009B6C12" w:rsidRDefault="00365BBD" w:rsidP="00BE3C2A">
            <w:pPr>
              <w:jc w:val="center"/>
              <w:rPr>
                <w:i/>
                <w:sz w:val="14"/>
                <w:szCs w:val="16"/>
                <w:lang w:val="uk-UA" w:eastAsia="uk-UA"/>
              </w:rPr>
            </w:pPr>
            <w:r w:rsidRPr="009B6C12">
              <w:rPr>
                <w:i/>
                <w:sz w:val="14"/>
                <w:szCs w:val="16"/>
                <w:lang w:val="uk-UA" w:eastAsia="uk-UA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365BBD" w:rsidRPr="009B6C12" w:rsidRDefault="00365BBD" w:rsidP="00BE3C2A">
            <w:pPr>
              <w:jc w:val="center"/>
              <w:rPr>
                <w:i/>
                <w:sz w:val="14"/>
                <w:szCs w:val="22"/>
                <w:lang w:val="uk-UA" w:eastAsia="uk-UA"/>
              </w:rPr>
            </w:pPr>
            <w:r w:rsidRPr="009B6C12">
              <w:rPr>
                <w:i/>
                <w:sz w:val="14"/>
                <w:szCs w:val="22"/>
                <w:lang w:val="uk-UA" w:eastAsia="uk-UA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365BBD" w:rsidRPr="009B6C12" w:rsidRDefault="00365BBD" w:rsidP="00BE3C2A">
            <w:pPr>
              <w:jc w:val="center"/>
              <w:rPr>
                <w:i/>
                <w:sz w:val="14"/>
                <w:szCs w:val="22"/>
                <w:lang w:val="uk-UA" w:eastAsia="uk-UA"/>
              </w:rPr>
            </w:pPr>
            <w:r w:rsidRPr="009B6C12">
              <w:rPr>
                <w:i/>
                <w:sz w:val="14"/>
                <w:szCs w:val="22"/>
                <w:lang w:val="uk-UA" w:eastAsia="uk-UA"/>
              </w:rPr>
              <w:t>9</w:t>
            </w:r>
          </w:p>
        </w:tc>
      </w:tr>
      <w:tr w:rsidR="00F219DB" w:rsidRPr="009B6C12" w:rsidTr="004D79A8">
        <w:trPr>
          <w:trHeight w:val="887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219D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9B6C12">
              <w:rPr>
                <w:b/>
                <w:bCs/>
                <w:sz w:val="22"/>
                <w:szCs w:val="22"/>
                <w:lang w:val="uk-UA" w:eastAsia="uk-UA"/>
              </w:rPr>
              <w:t>Всього витрат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219D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59195,9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219DB" w:rsidP="00F219D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54990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219DB" w:rsidP="00F219D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54990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57C41" w:rsidP="00F219D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62131,0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57C41" w:rsidP="00F219D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104,9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57C41" w:rsidP="00F219D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113</w:t>
            </w:r>
          </w:p>
        </w:tc>
      </w:tr>
      <w:tr w:rsidR="00F219DB" w:rsidRPr="009B6C12" w:rsidTr="00F57C41">
        <w:trPr>
          <w:trHeight w:val="831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219D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9B6C12">
              <w:rPr>
                <w:sz w:val="22"/>
                <w:szCs w:val="22"/>
                <w:lang w:val="uk-UA" w:eastAsia="uk-UA"/>
              </w:rPr>
              <w:t>Собівартість реалізованої продукції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44807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41337</w:t>
            </w:r>
          </w:p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41337</w:t>
            </w:r>
          </w:p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Default="00F57C41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51908</w:t>
            </w:r>
          </w:p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57C41" w:rsidP="00F1110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115,8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57C41" w:rsidP="00F219D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125,5</w:t>
            </w:r>
          </w:p>
        </w:tc>
      </w:tr>
      <w:tr w:rsidR="00F219DB" w:rsidRPr="009B6C12" w:rsidTr="00F57C41">
        <w:trPr>
          <w:trHeight w:val="843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219D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9B6C12">
              <w:rPr>
                <w:sz w:val="22"/>
                <w:szCs w:val="22"/>
                <w:lang w:val="uk-UA" w:eastAsia="uk-UA"/>
              </w:rPr>
              <w:t>Адміністративні витрати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5344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7797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7797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57C41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7872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57C41" w:rsidP="00F1110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147,3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57C41" w:rsidP="00F219D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101</w:t>
            </w:r>
          </w:p>
        </w:tc>
      </w:tr>
      <w:tr w:rsidR="00F219DB" w:rsidRPr="009B6C12" w:rsidTr="00F57C41">
        <w:trPr>
          <w:trHeight w:val="423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219D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9B6C12">
              <w:rPr>
                <w:sz w:val="22"/>
                <w:szCs w:val="22"/>
                <w:lang w:val="uk-UA" w:eastAsia="uk-UA"/>
              </w:rPr>
              <w:t>Витрати на збут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3429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3456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3456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57C41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2352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57C41" w:rsidP="00F1110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68,5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57C41" w:rsidP="00F219D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68</w:t>
            </w:r>
          </w:p>
        </w:tc>
      </w:tr>
      <w:tr w:rsidR="00F219DB" w:rsidRPr="009B6C12" w:rsidTr="00365BBD">
        <w:trPr>
          <w:trHeight w:val="386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219D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9B6C12">
              <w:rPr>
                <w:sz w:val="22"/>
                <w:szCs w:val="22"/>
                <w:lang w:val="uk-UA" w:eastAsia="uk-UA"/>
              </w:rPr>
              <w:t>Інші операційні витрати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1110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219D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х</w:t>
            </w:r>
          </w:p>
        </w:tc>
      </w:tr>
      <w:tr w:rsidR="00F219DB" w:rsidRPr="009B6C12" w:rsidTr="00F1110D">
        <w:trPr>
          <w:trHeight w:val="22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219D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9B6C12">
              <w:rPr>
                <w:sz w:val="22"/>
                <w:szCs w:val="22"/>
                <w:lang w:val="uk-UA" w:eastAsia="uk-UA"/>
              </w:rPr>
              <w:t>Інші витрати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5616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219DB" w:rsidP="00F1110D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219DB" w:rsidP="00F1110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219D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9B6C12">
              <w:rPr>
                <w:b/>
                <w:bCs/>
                <w:sz w:val="22"/>
                <w:szCs w:val="22"/>
                <w:lang w:val="uk-UA" w:eastAsia="uk-UA"/>
              </w:rPr>
              <w:t>х</w:t>
            </w:r>
          </w:p>
        </w:tc>
      </w:tr>
      <w:tr w:rsidR="00F219DB" w:rsidRPr="009B6C12" w:rsidTr="00365BBD">
        <w:trPr>
          <w:trHeight w:val="414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219D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9B6C12">
              <w:rPr>
                <w:sz w:val="22"/>
                <w:szCs w:val="22"/>
                <w:lang w:val="uk-UA" w:eastAsia="uk-UA"/>
              </w:rPr>
              <w:t>Податок на прибуток від звичайної діяльності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219DB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19,8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219DB" w:rsidP="00F219DB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12,84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DB" w:rsidRPr="009B6C12" w:rsidRDefault="00F219DB" w:rsidP="00F219DB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57C41" w:rsidP="00F219DB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29,56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A80726" w:rsidP="00F219D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149,3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DB" w:rsidRPr="009B6C12" w:rsidRDefault="00F57C41" w:rsidP="00F219D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230,2</w:t>
            </w:r>
          </w:p>
        </w:tc>
      </w:tr>
    </w:tbl>
    <w:p w:rsidR="0095403B" w:rsidRPr="00837D90" w:rsidRDefault="0095403B" w:rsidP="0095403B">
      <w:pPr>
        <w:ind w:firstLine="709"/>
        <w:jc w:val="both"/>
        <w:rPr>
          <w:color w:val="C00000"/>
          <w:lang w:val="uk-UA"/>
        </w:rPr>
      </w:pPr>
      <w:r w:rsidRPr="00F2276E">
        <w:rPr>
          <w:lang w:val="uk-UA"/>
        </w:rPr>
        <w:t xml:space="preserve">Показник «Собівартість реалізованої продукції (товарів, робіт, послуг)» (рядок 1010) у </w:t>
      </w:r>
      <w:proofErr w:type="spellStart"/>
      <w:r w:rsidRPr="00F2276E">
        <w:rPr>
          <w:lang w:val="uk-UA"/>
        </w:rPr>
        <w:t>про</w:t>
      </w:r>
      <w:r>
        <w:rPr>
          <w:lang w:val="uk-UA"/>
        </w:rPr>
        <w:t>є</w:t>
      </w:r>
      <w:r w:rsidRPr="00F2276E">
        <w:rPr>
          <w:lang w:val="uk-UA"/>
        </w:rPr>
        <w:t>кті</w:t>
      </w:r>
      <w:proofErr w:type="spellEnd"/>
      <w:r w:rsidRPr="00F2276E">
        <w:rPr>
          <w:lang w:val="uk-UA"/>
        </w:rPr>
        <w:t xml:space="preserve"> плану на 20</w:t>
      </w:r>
      <w:r>
        <w:rPr>
          <w:lang w:val="uk-UA"/>
        </w:rPr>
        <w:t>2</w:t>
      </w:r>
      <w:r w:rsidR="00F1110D">
        <w:rPr>
          <w:lang w:val="uk-UA"/>
        </w:rPr>
        <w:t>6</w:t>
      </w:r>
      <w:r w:rsidRPr="00F2276E">
        <w:rPr>
          <w:lang w:val="uk-UA"/>
        </w:rPr>
        <w:t>рік в порівнянні з планом 20</w:t>
      </w:r>
      <w:r>
        <w:rPr>
          <w:lang w:val="uk-UA"/>
        </w:rPr>
        <w:t>2</w:t>
      </w:r>
      <w:r w:rsidR="00F1110D">
        <w:rPr>
          <w:lang w:val="uk-UA"/>
        </w:rPr>
        <w:t>5</w:t>
      </w:r>
      <w:r w:rsidRPr="00F2276E">
        <w:rPr>
          <w:lang w:val="uk-UA"/>
        </w:rPr>
        <w:t xml:space="preserve"> року </w:t>
      </w:r>
      <w:r w:rsidR="00F1110D">
        <w:rPr>
          <w:lang w:val="uk-UA"/>
        </w:rPr>
        <w:t>збільшено</w:t>
      </w:r>
      <w:r w:rsidRPr="00F2276E">
        <w:rPr>
          <w:lang w:val="uk-UA"/>
        </w:rPr>
        <w:t xml:space="preserve"> на </w:t>
      </w:r>
      <w:r w:rsidR="00A80726">
        <w:rPr>
          <w:lang w:val="uk-UA"/>
        </w:rPr>
        <w:t>10571,0</w:t>
      </w:r>
      <w:r w:rsidRPr="00F2276E">
        <w:rPr>
          <w:lang w:val="uk-UA"/>
        </w:rPr>
        <w:t xml:space="preserve"> тис. грн</w:t>
      </w:r>
      <w:r w:rsidRPr="00F2276E">
        <w:rPr>
          <w:b/>
          <w:lang w:val="uk-UA"/>
        </w:rPr>
        <w:t>.</w:t>
      </w:r>
      <w:r w:rsidRPr="00F2276E">
        <w:rPr>
          <w:lang w:val="uk-UA"/>
        </w:rPr>
        <w:t xml:space="preserve"> (</w:t>
      </w:r>
      <w:r w:rsidR="00A80726">
        <w:rPr>
          <w:lang w:val="uk-UA"/>
        </w:rPr>
        <w:t>25,5</w:t>
      </w:r>
      <w:r>
        <w:rPr>
          <w:lang w:val="uk-UA"/>
        </w:rPr>
        <w:t>%).</w:t>
      </w:r>
    </w:p>
    <w:p w:rsidR="00D3047A" w:rsidRDefault="0095403B" w:rsidP="0095403B">
      <w:pPr>
        <w:ind w:left="567"/>
        <w:jc w:val="both"/>
        <w:rPr>
          <w:b/>
          <w:u w:val="single"/>
          <w:lang w:val="uk-UA"/>
        </w:rPr>
      </w:pPr>
      <w:r>
        <w:rPr>
          <w:lang w:val="uk-UA"/>
        </w:rPr>
        <w:t>Собівартість реалізованої продукції  найбільш  пито</w:t>
      </w:r>
      <w:r w:rsidR="00F1110D">
        <w:rPr>
          <w:lang w:val="uk-UA"/>
        </w:rPr>
        <w:t xml:space="preserve">ма стаття витрат яка займає </w:t>
      </w:r>
      <w:r w:rsidR="00A80726">
        <w:rPr>
          <w:lang w:val="uk-UA"/>
        </w:rPr>
        <w:t>83,5</w:t>
      </w:r>
      <w:r>
        <w:rPr>
          <w:lang w:val="uk-UA"/>
        </w:rPr>
        <w:t>% від усіх витрат.</w:t>
      </w:r>
      <w:r w:rsidR="00A80726">
        <w:rPr>
          <w:lang w:val="uk-UA"/>
        </w:rPr>
        <w:t xml:space="preserve"> Собівартість реалізованої продукції збільшилася, у зв’язку із збільшенням тарифу постачальника на послугу з водопостачання та водовідведення на 30%.</w:t>
      </w:r>
    </w:p>
    <w:p w:rsidR="00D3047A" w:rsidRPr="00F90D51" w:rsidRDefault="00D3047A" w:rsidP="00D3047A">
      <w:pPr>
        <w:ind w:left="567"/>
        <w:jc w:val="center"/>
        <w:rPr>
          <w:b/>
          <w:u w:val="single"/>
          <w:lang w:val="uk-UA"/>
        </w:rPr>
      </w:pPr>
      <w:r w:rsidRPr="00F90D51">
        <w:rPr>
          <w:b/>
          <w:u w:val="single"/>
          <w:lang w:val="uk-UA"/>
        </w:rPr>
        <w:lastRenderedPageBreak/>
        <w:t>Заплановані видатки з отриманих доходів за надання платних послуг з водопостачання, водовідведення</w:t>
      </w:r>
      <w:r w:rsidR="00821711">
        <w:rPr>
          <w:b/>
          <w:u w:val="single"/>
          <w:lang w:val="uk-UA"/>
        </w:rPr>
        <w:t>,</w:t>
      </w:r>
      <w:r w:rsidRPr="00F90D51">
        <w:rPr>
          <w:b/>
          <w:u w:val="single"/>
          <w:lang w:val="uk-UA"/>
        </w:rPr>
        <w:t xml:space="preserve"> вивезення ТПВ</w:t>
      </w:r>
      <w:r w:rsidR="00821711">
        <w:rPr>
          <w:b/>
          <w:u w:val="single"/>
          <w:lang w:val="uk-UA"/>
        </w:rPr>
        <w:t xml:space="preserve"> та отримання дотації з місцевого бюджету</w:t>
      </w:r>
      <w:r w:rsidRPr="00F90D51">
        <w:rPr>
          <w:b/>
          <w:u w:val="single"/>
          <w:lang w:val="uk-UA"/>
        </w:rPr>
        <w:t>:</w:t>
      </w:r>
    </w:p>
    <w:p w:rsidR="00D3047A" w:rsidRDefault="00D3047A" w:rsidP="00D3047A">
      <w:pPr>
        <w:pStyle w:val="a5"/>
        <w:numPr>
          <w:ilvl w:val="0"/>
          <w:numId w:val="6"/>
        </w:numPr>
        <w:ind w:left="567"/>
        <w:jc w:val="both"/>
        <w:rPr>
          <w:lang w:val="uk-UA"/>
        </w:rPr>
      </w:pPr>
      <w:r w:rsidRPr="00F90D51">
        <w:rPr>
          <w:lang w:val="uk-UA" w:eastAsia="ar-SA"/>
        </w:rPr>
        <w:t xml:space="preserve">Видатки на придбання води на підставі договору з </w:t>
      </w:r>
      <w:proofErr w:type="spellStart"/>
      <w:r w:rsidRPr="00F90D51">
        <w:rPr>
          <w:lang w:val="uk-UA" w:eastAsia="ar-SA"/>
        </w:rPr>
        <w:t>Інфоксводоканалом</w:t>
      </w:r>
      <w:proofErr w:type="spellEnd"/>
      <w:r w:rsidRPr="00F90D51">
        <w:rPr>
          <w:lang w:val="uk-UA" w:eastAsia="ar-SA"/>
        </w:rPr>
        <w:t xml:space="preserve"> </w:t>
      </w:r>
      <w:r w:rsidR="00D75604">
        <w:rPr>
          <w:lang w:val="uk-UA" w:eastAsia="ar-SA"/>
        </w:rPr>
        <w:t>–</w:t>
      </w:r>
      <w:r w:rsidRPr="00F90D51">
        <w:rPr>
          <w:lang w:val="uk-UA" w:eastAsia="ar-SA"/>
        </w:rPr>
        <w:t xml:space="preserve"> </w:t>
      </w:r>
      <w:r w:rsidR="001A2851">
        <w:rPr>
          <w:lang w:val="uk-UA" w:eastAsia="ar-SA"/>
        </w:rPr>
        <w:t>16941,5</w:t>
      </w:r>
      <w:r w:rsidRPr="00F90D51">
        <w:rPr>
          <w:lang w:val="uk-UA" w:eastAsia="ar-SA"/>
        </w:rPr>
        <w:t xml:space="preserve"> </w:t>
      </w:r>
      <w:proofErr w:type="spellStart"/>
      <w:r w:rsidRPr="00F90D51">
        <w:rPr>
          <w:lang w:val="uk-UA" w:eastAsia="ar-SA"/>
        </w:rPr>
        <w:t>тис.грн</w:t>
      </w:r>
      <w:proofErr w:type="spellEnd"/>
      <w:r>
        <w:rPr>
          <w:lang w:val="uk-UA" w:eastAsia="ar-SA"/>
        </w:rPr>
        <w:t>.</w:t>
      </w:r>
      <w:r w:rsidR="001A2851">
        <w:rPr>
          <w:lang w:val="uk-UA" w:eastAsia="ar-SA"/>
        </w:rPr>
        <w:t xml:space="preserve"> без ПДВ</w:t>
      </w:r>
    </w:p>
    <w:p w:rsidR="00D75604" w:rsidRPr="00F90D51" w:rsidRDefault="00D75604" w:rsidP="00D3047A">
      <w:pPr>
        <w:pStyle w:val="a5"/>
        <w:numPr>
          <w:ilvl w:val="0"/>
          <w:numId w:val="6"/>
        </w:numPr>
        <w:ind w:left="567"/>
        <w:jc w:val="both"/>
        <w:rPr>
          <w:lang w:val="uk-UA"/>
        </w:rPr>
      </w:pPr>
      <w:r>
        <w:rPr>
          <w:lang w:val="uk-UA" w:eastAsia="ar-SA"/>
        </w:rPr>
        <w:t xml:space="preserve">Видатки на очищення стоків – </w:t>
      </w:r>
      <w:r w:rsidR="001A2851">
        <w:rPr>
          <w:lang w:val="uk-UA" w:eastAsia="ar-SA"/>
        </w:rPr>
        <w:t>1578,9</w:t>
      </w:r>
      <w:r>
        <w:rPr>
          <w:lang w:val="uk-UA" w:eastAsia="ar-SA"/>
        </w:rPr>
        <w:t xml:space="preserve"> </w:t>
      </w:r>
      <w:proofErr w:type="spellStart"/>
      <w:r>
        <w:rPr>
          <w:lang w:val="uk-UA" w:eastAsia="ar-SA"/>
        </w:rPr>
        <w:t>тис.грн</w:t>
      </w:r>
      <w:proofErr w:type="spellEnd"/>
      <w:r>
        <w:rPr>
          <w:lang w:val="uk-UA" w:eastAsia="ar-SA"/>
        </w:rPr>
        <w:t>.</w:t>
      </w:r>
      <w:r w:rsidR="001A2851">
        <w:rPr>
          <w:lang w:val="uk-UA" w:eastAsia="ar-SA"/>
        </w:rPr>
        <w:t xml:space="preserve"> без ПДВ</w:t>
      </w:r>
    </w:p>
    <w:p w:rsidR="00D3047A" w:rsidRPr="00FF3EDC" w:rsidRDefault="00D3047A" w:rsidP="00D3047A">
      <w:pPr>
        <w:pStyle w:val="a5"/>
        <w:numPr>
          <w:ilvl w:val="0"/>
          <w:numId w:val="6"/>
        </w:numPr>
        <w:ind w:left="567"/>
        <w:jc w:val="both"/>
        <w:rPr>
          <w:lang w:val="uk-UA" w:eastAsia="ar-SA"/>
        </w:rPr>
      </w:pPr>
      <w:r w:rsidRPr="00FF3EDC">
        <w:rPr>
          <w:lang w:val="uk-UA"/>
        </w:rPr>
        <w:t xml:space="preserve">Матеріальні витрати та послуги сторонніх організацій (придбання матерів для ремонту мереж водопостачання та водовідведення, технічне обслуговування та запасні частини для автотранспорту, послуги з захоронення відходів на ліцензованому полігоні, та </w:t>
      </w:r>
      <w:proofErr w:type="spellStart"/>
      <w:r w:rsidRPr="00FF3EDC">
        <w:rPr>
          <w:lang w:val="uk-UA"/>
        </w:rPr>
        <w:t>інш</w:t>
      </w:r>
      <w:proofErr w:type="spellEnd"/>
      <w:r w:rsidRPr="00FF3EDC">
        <w:rPr>
          <w:lang w:val="uk-UA"/>
        </w:rPr>
        <w:t>.) -</w:t>
      </w:r>
      <w:r w:rsidR="00D75604">
        <w:rPr>
          <w:lang w:val="uk-UA"/>
        </w:rPr>
        <w:t>13</w:t>
      </w:r>
      <w:r w:rsidR="001A2851">
        <w:rPr>
          <w:lang w:val="uk-UA"/>
        </w:rPr>
        <w:t xml:space="preserve">29,6 </w:t>
      </w:r>
      <w:proofErr w:type="spellStart"/>
      <w:r w:rsidRPr="00FF3EDC">
        <w:rPr>
          <w:lang w:val="uk-UA"/>
        </w:rPr>
        <w:t>тис.грн</w:t>
      </w:r>
      <w:proofErr w:type="spellEnd"/>
    </w:p>
    <w:p w:rsidR="00D3047A" w:rsidRDefault="00D3047A" w:rsidP="00D3047A">
      <w:pPr>
        <w:pStyle w:val="a5"/>
        <w:numPr>
          <w:ilvl w:val="0"/>
          <w:numId w:val="6"/>
        </w:numPr>
        <w:ind w:left="567"/>
        <w:jc w:val="both"/>
        <w:rPr>
          <w:lang w:val="uk-UA" w:eastAsia="ar-SA"/>
        </w:rPr>
      </w:pPr>
      <w:r>
        <w:rPr>
          <w:lang w:val="uk-UA" w:eastAsia="ar-SA"/>
        </w:rPr>
        <w:t>П</w:t>
      </w:r>
      <w:r w:rsidRPr="00FF3EDC">
        <w:rPr>
          <w:lang w:val="uk-UA" w:eastAsia="ar-SA"/>
        </w:rPr>
        <w:t>аливно-мастильні матеріали -</w:t>
      </w:r>
      <w:r w:rsidR="00D75604">
        <w:rPr>
          <w:lang w:val="uk-UA" w:eastAsia="ar-SA"/>
        </w:rPr>
        <w:t>1800</w:t>
      </w:r>
      <w:r w:rsidRPr="00FF3EDC">
        <w:rPr>
          <w:lang w:val="uk-UA" w:eastAsia="ar-SA"/>
        </w:rPr>
        <w:t xml:space="preserve"> </w:t>
      </w:r>
      <w:proofErr w:type="spellStart"/>
      <w:r w:rsidRPr="00FF3EDC">
        <w:rPr>
          <w:lang w:val="uk-UA" w:eastAsia="ar-SA"/>
        </w:rPr>
        <w:t>тис.грн</w:t>
      </w:r>
      <w:proofErr w:type="spellEnd"/>
      <w:r w:rsidRPr="00FF3EDC">
        <w:rPr>
          <w:lang w:val="uk-UA" w:eastAsia="ar-SA"/>
        </w:rPr>
        <w:t>.</w:t>
      </w:r>
    </w:p>
    <w:p w:rsidR="00D3047A" w:rsidRPr="00FF3EDC" w:rsidRDefault="00D3047A" w:rsidP="00D3047A">
      <w:pPr>
        <w:pStyle w:val="a5"/>
        <w:numPr>
          <w:ilvl w:val="0"/>
          <w:numId w:val="6"/>
        </w:numPr>
        <w:ind w:left="567"/>
        <w:jc w:val="both"/>
        <w:rPr>
          <w:lang w:val="uk-UA" w:eastAsia="ar-SA"/>
        </w:rPr>
      </w:pPr>
      <w:r>
        <w:rPr>
          <w:lang w:val="uk-UA" w:eastAsia="ar-SA"/>
        </w:rPr>
        <w:t>В</w:t>
      </w:r>
      <w:r w:rsidRPr="00FF3EDC">
        <w:rPr>
          <w:lang w:val="uk-UA" w:eastAsia="ar-SA"/>
        </w:rPr>
        <w:t xml:space="preserve">итрати на оплату праці  - </w:t>
      </w:r>
      <w:r w:rsidR="00A80726">
        <w:rPr>
          <w:lang w:val="uk-UA" w:eastAsia="ar-SA"/>
        </w:rPr>
        <w:t>29942,0</w:t>
      </w:r>
      <w:r w:rsidR="00821711">
        <w:rPr>
          <w:lang w:val="uk-UA" w:eastAsia="ar-SA"/>
        </w:rPr>
        <w:t xml:space="preserve">0 </w:t>
      </w:r>
      <w:proofErr w:type="spellStart"/>
      <w:r w:rsidRPr="00FF3EDC">
        <w:rPr>
          <w:lang w:val="uk-UA" w:eastAsia="ar-SA"/>
        </w:rPr>
        <w:t>тис.грн</w:t>
      </w:r>
      <w:proofErr w:type="spellEnd"/>
      <w:r>
        <w:rPr>
          <w:lang w:val="uk-UA" w:eastAsia="ar-SA"/>
        </w:rPr>
        <w:t xml:space="preserve"> та </w:t>
      </w:r>
      <w:r w:rsidRPr="00FF3EDC">
        <w:rPr>
          <w:lang w:val="uk-UA" w:eastAsia="ar-SA"/>
        </w:rPr>
        <w:t>нарахування на зар</w:t>
      </w:r>
      <w:r>
        <w:rPr>
          <w:lang w:val="uk-UA" w:eastAsia="ar-SA"/>
        </w:rPr>
        <w:t xml:space="preserve">обітну </w:t>
      </w:r>
      <w:r w:rsidRPr="00FF3EDC">
        <w:rPr>
          <w:lang w:val="uk-UA" w:eastAsia="ar-SA"/>
        </w:rPr>
        <w:t xml:space="preserve">плату </w:t>
      </w:r>
      <w:r w:rsidR="00A80726">
        <w:rPr>
          <w:lang w:val="uk-UA" w:eastAsia="ar-SA"/>
        </w:rPr>
        <w:t>6587,0</w:t>
      </w:r>
      <w:r w:rsidRPr="00FF3EDC">
        <w:rPr>
          <w:lang w:val="uk-UA" w:eastAsia="ar-SA"/>
        </w:rPr>
        <w:t xml:space="preserve"> </w:t>
      </w:r>
      <w:proofErr w:type="spellStart"/>
      <w:r w:rsidRPr="00FF3EDC">
        <w:rPr>
          <w:lang w:val="uk-UA" w:eastAsia="ar-SA"/>
        </w:rPr>
        <w:t>тис.грн</w:t>
      </w:r>
      <w:proofErr w:type="spellEnd"/>
      <w:r w:rsidRPr="00FF3EDC">
        <w:rPr>
          <w:lang w:val="uk-UA" w:eastAsia="ar-SA"/>
        </w:rPr>
        <w:t>.</w:t>
      </w:r>
      <w:r>
        <w:rPr>
          <w:lang w:val="uk-UA" w:eastAsia="ar-SA"/>
        </w:rPr>
        <w:t xml:space="preserve"> (</w:t>
      </w:r>
      <w:r w:rsidR="00821711">
        <w:rPr>
          <w:lang w:val="uk-UA" w:eastAsia="ar-SA"/>
        </w:rPr>
        <w:t xml:space="preserve">у </w:t>
      </w:r>
      <w:proofErr w:type="spellStart"/>
      <w:r w:rsidR="00821711">
        <w:rPr>
          <w:lang w:val="uk-UA" w:eastAsia="ar-SA"/>
        </w:rPr>
        <w:t>т.ч</w:t>
      </w:r>
      <w:proofErr w:type="spellEnd"/>
      <w:r w:rsidR="00821711">
        <w:rPr>
          <w:lang w:val="uk-UA" w:eastAsia="ar-SA"/>
        </w:rPr>
        <w:t>.</w:t>
      </w:r>
      <w:r w:rsidR="00821711" w:rsidRPr="00821711">
        <w:rPr>
          <w:lang w:val="uk-UA" w:eastAsia="ar-SA"/>
        </w:rPr>
        <w:t xml:space="preserve"> </w:t>
      </w:r>
      <w:r w:rsidR="00A80726">
        <w:rPr>
          <w:lang w:val="uk-UA" w:eastAsia="ar-SA"/>
        </w:rPr>
        <w:t xml:space="preserve">оплата праці 13 025,0 </w:t>
      </w:r>
      <w:proofErr w:type="spellStart"/>
      <w:r w:rsidR="00821711" w:rsidRPr="00FF3EDC">
        <w:rPr>
          <w:lang w:val="uk-UA" w:eastAsia="ar-SA"/>
        </w:rPr>
        <w:t>тис.грн</w:t>
      </w:r>
      <w:proofErr w:type="spellEnd"/>
      <w:r w:rsidR="00821711">
        <w:rPr>
          <w:lang w:val="uk-UA" w:eastAsia="ar-SA"/>
        </w:rPr>
        <w:t xml:space="preserve"> та </w:t>
      </w:r>
      <w:r w:rsidR="00821711" w:rsidRPr="00FF3EDC">
        <w:rPr>
          <w:lang w:val="uk-UA" w:eastAsia="ar-SA"/>
        </w:rPr>
        <w:t>нарахування на зар</w:t>
      </w:r>
      <w:r w:rsidR="00821711">
        <w:rPr>
          <w:lang w:val="uk-UA" w:eastAsia="ar-SA"/>
        </w:rPr>
        <w:t xml:space="preserve">обітну </w:t>
      </w:r>
      <w:r w:rsidR="00821711" w:rsidRPr="00FF3EDC">
        <w:rPr>
          <w:lang w:val="uk-UA" w:eastAsia="ar-SA"/>
        </w:rPr>
        <w:t xml:space="preserve">плату </w:t>
      </w:r>
      <w:r w:rsidR="001A2851">
        <w:rPr>
          <w:lang w:val="uk-UA" w:eastAsia="ar-SA"/>
        </w:rPr>
        <w:t>2865,26</w:t>
      </w:r>
      <w:r w:rsidR="00821711" w:rsidRPr="00FF3EDC">
        <w:rPr>
          <w:lang w:val="uk-UA" w:eastAsia="ar-SA"/>
        </w:rPr>
        <w:t xml:space="preserve"> </w:t>
      </w:r>
      <w:proofErr w:type="spellStart"/>
      <w:r w:rsidR="00821711" w:rsidRPr="00FF3EDC">
        <w:rPr>
          <w:lang w:val="uk-UA" w:eastAsia="ar-SA"/>
        </w:rPr>
        <w:t>тис.грн</w:t>
      </w:r>
      <w:proofErr w:type="spellEnd"/>
      <w:r w:rsidR="00821711" w:rsidRPr="00FF3EDC">
        <w:rPr>
          <w:lang w:val="uk-UA" w:eastAsia="ar-SA"/>
        </w:rPr>
        <w:t>.</w:t>
      </w:r>
      <w:r w:rsidR="00821711">
        <w:rPr>
          <w:lang w:val="uk-UA" w:eastAsia="ar-SA"/>
        </w:rPr>
        <w:t xml:space="preserve"> </w:t>
      </w:r>
      <w:r>
        <w:rPr>
          <w:lang w:val="uk-UA" w:eastAsia="ar-SA"/>
        </w:rPr>
        <w:t>36 штатних одиниць із загальної кількості штатного розпису, які фінансуються за рахунок надання платних послуг).</w:t>
      </w:r>
    </w:p>
    <w:p w:rsidR="00C66FC8" w:rsidRPr="0000779D" w:rsidRDefault="00C66FC8" w:rsidP="00C66FC8">
      <w:pPr>
        <w:ind w:firstLine="709"/>
        <w:jc w:val="both"/>
        <w:rPr>
          <w:lang w:val="uk-UA"/>
        </w:rPr>
      </w:pPr>
      <w:r w:rsidRPr="0000779D">
        <w:rPr>
          <w:lang w:val="uk-UA"/>
        </w:rPr>
        <w:t xml:space="preserve">Питома вага витрат на оплату праці у структурі витрат становить </w:t>
      </w:r>
      <w:r w:rsidR="00A80726">
        <w:rPr>
          <w:lang w:val="uk-UA"/>
        </w:rPr>
        <w:t>48,19</w:t>
      </w:r>
      <w:r w:rsidR="00365BBD">
        <w:rPr>
          <w:lang w:val="uk-UA"/>
        </w:rPr>
        <w:t>%</w:t>
      </w:r>
      <w:r w:rsidR="003456E9" w:rsidRPr="0000779D">
        <w:rPr>
          <w:lang w:val="uk-UA"/>
        </w:rPr>
        <w:t>. С</w:t>
      </w:r>
      <w:r w:rsidRPr="0000779D">
        <w:rPr>
          <w:lang w:val="uk-UA"/>
        </w:rPr>
        <w:t>ередня кількість працівників фінансового плану на 202</w:t>
      </w:r>
      <w:r w:rsidR="00D75604">
        <w:rPr>
          <w:lang w:val="uk-UA"/>
        </w:rPr>
        <w:t>6</w:t>
      </w:r>
      <w:r w:rsidRPr="0000779D">
        <w:rPr>
          <w:lang w:val="uk-UA"/>
        </w:rPr>
        <w:t xml:space="preserve"> рік становить</w:t>
      </w:r>
      <w:r w:rsidRPr="00F16609">
        <w:rPr>
          <w:lang w:val="uk-UA"/>
        </w:rPr>
        <w:t xml:space="preserve"> </w:t>
      </w:r>
      <w:r w:rsidR="00D75604" w:rsidRPr="00F16609">
        <w:rPr>
          <w:lang w:val="uk-UA"/>
        </w:rPr>
        <w:t>84</w:t>
      </w:r>
      <w:r w:rsidRPr="0000779D">
        <w:rPr>
          <w:lang w:val="uk-UA"/>
        </w:rPr>
        <w:t xml:space="preserve"> особи. </w:t>
      </w:r>
    </w:p>
    <w:p w:rsidR="00E14A06" w:rsidRDefault="003456E9" w:rsidP="00E14A06">
      <w:pPr>
        <w:pStyle w:val="a5"/>
        <w:numPr>
          <w:ilvl w:val="0"/>
          <w:numId w:val="6"/>
        </w:numPr>
        <w:ind w:left="567" w:hanging="283"/>
        <w:jc w:val="both"/>
        <w:rPr>
          <w:lang w:val="uk-UA"/>
        </w:rPr>
      </w:pPr>
      <w:r w:rsidRPr="00E14A06">
        <w:rPr>
          <w:lang w:val="uk-UA"/>
        </w:rPr>
        <w:t xml:space="preserve">Заплановані витрати на </w:t>
      </w:r>
      <w:r w:rsidR="00EA4C6A" w:rsidRPr="00E14A06">
        <w:rPr>
          <w:lang w:val="uk-UA"/>
        </w:rPr>
        <w:t>сировину та матеріали -</w:t>
      </w:r>
      <w:r w:rsidR="00A80726">
        <w:rPr>
          <w:lang w:val="uk-UA"/>
        </w:rPr>
        <w:t>19850,00</w:t>
      </w:r>
      <w:r w:rsidR="00EA4C6A" w:rsidRPr="00E14A06">
        <w:rPr>
          <w:lang w:val="uk-UA"/>
        </w:rPr>
        <w:t xml:space="preserve"> </w:t>
      </w:r>
      <w:proofErr w:type="spellStart"/>
      <w:r w:rsidR="00EA4C6A" w:rsidRPr="00E14A06">
        <w:rPr>
          <w:lang w:val="uk-UA"/>
        </w:rPr>
        <w:t>тис.грн</w:t>
      </w:r>
      <w:proofErr w:type="spellEnd"/>
      <w:r w:rsidR="00EA4C6A" w:rsidRPr="00E14A06">
        <w:rPr>
          <w:lang w:val="uk-UA"/>
        </w:rPr>
        <w:t xml:space="preserve">, витрати на паливо </w:t>
      </w:r>
      <w:r w:rsidR="00365BBD" w:rsidRPr="00E14A06">
        <w:rPr>
          <w:lang w:val="uk-UA"/>
        </w:rPr>
        <w:t>-</w:t>
      </w:r>
      <w:r w:rsidR="00D75604" w:rsidRPr="00E14A06">
        <w:rPr>
          <w:lang w:val="uk-UA"/>
        </w:rPr>
        <w:t>1800</w:t>
      </w:r>
      <w:r w:rsidRPr="00E14A06">
        <w:rPr>
          <w:lang w:val="uk-UA"/>
        </w:rPr>
        <w:t xml:space="preserve">,00 тис. грн </w:t>
      </w:r>
    </w:p>
    <w:p w:rsidR="002B0860" w:rsidRPr="00E14A06" w:rsidRDefault="002B0860" w:rsidP="00E14A06">
      <w:pPr>
        <w:pStyle w:val="a5"/>
        <w:numPr>
          <w:ilvl w:val="0"/>
          <w:numId w:val="6"/>
        </w:numPr>
        <w:ind w:left="567" w:hanging="283"/>
        <w:jc w:val="both"/>
        <w:rPr>
          <w:lang w:val="uk-UA"/>
        </w:rPr>
      </w:pPr>
      <w:r w:rsidRPr="00E14A06">
        <w:rPr>
          <w:lang w:val="uk-UA"/>
        </w:rPr>
        <w:t xml:space="preserve">Амортизаційні відрахування складають </w:t>
      </w:r>
      <w:r w:rsidR="00D75604" w:rsidRPr="00E14A06">
        <w:rPr>
          <w:lang w:val="uk-UA"/>
        </w:rPr>
        <w:t>28</w:t>
      </w:r>
      <w:r w:rsidRPr="00E14A06">
        <w:rPr>
          <w:lang w:val="uk-UA"/>
        </w:rPr>
        <w:t>00,00тис.грн.</w:t>
      </w:r>
    </w:p>
    <w:p w:rsidR="004E4D27" w:rsidRPr="009764FA" w:rsidRDefault="004E4D27" w:rsidP="004E4D27">
      <w:pPr>
        <w:pStyle w:val="a8"/>
        <w:tabs>
          <w:tab w:val="num" w:pos="1260"/>
        </w:tabs>
        <w:ind w:left="0" w:firstLine="567"/>
        <w:rPr>
          <w:lang w:val="uk-UA"/>
        </w:rPr>
      </w:pPr>
      <w:r w:rsidRPr="009764FA">
        <w:rPr>
          <w:lang w:val="uk-UA"/>
        </w:rPr>
        <w:t>При нарахуванні амортизації основних засобів застосовуються норми нарахування амортизації передбачені чинним податковим законодавством України.</w:t>
      </w:r>
    </w:p>
    <w:p w:rsidR="004E4D27" w:rsidRPr="009764FA" w:rsidRDefault="004E4D27" w:rsidP="004E4D27">
      <w:pPr>
        <w:pStyle w:val="a8"/>
        <w:tabs>
          <w:tab w:val="num" w:pos="1260"/>
        </w:tabs>
        <w:ind w:left="0" w:firstLine="567"/>
        <w:rPr>
          <w:lang w:val="uk-UA"/>
        </w:rPr>
      </w:pPr>
      <w:r w:rsidRPr="009764FA">
        <w:rPr>
          <w:lang w:val="uk-UA"/>
        </w:rPr>
        <w:t>Для нарахування амортизації основних засобів застосовується прямолінійний метод, за яким річна сума амортизації визначається діленням вартості, яка амортизується, на строк корисного використання об'єкта основних засобів.</w:t>
      </w:r>
    </w:p>
    <w:p w:rsidR="004E4D27" w:rsidRPr="009764FA" w:rsidRDefault="004E4D27" w:rsidP="004E4D27">
      <w:pPr>
        <w:ind w:firstLine="540"/>
        <w:jc w:val="both"/>
        <w:rPr>
          <w:lang w:val="uk-UA"/>
        </w:rPr>
      </w:pPr>
      <w:r w:rsidRPr="009764FA">
        <w:rPr>
          <w:lang w:val="uk-UA"/>
        </w:rPr>
        <w:t>Амортизація нематеріальних активів здійснюється прямолінійним методом, за яким річна сума амортизації визначається діленням вартості, яка амортизується, на очікуваний період часу використання нематеріального активу.</w:t>
      </w:r>
    </w:p>
    <w:p w:rsidR="004E4D27" w:rsidRPr="009764FA" w:rsidRDefault="004E4D27" w:rsidP="004E4D27">
      <w:pPr>
        <w:ind w:firstLine="540"/>
        <w:jc w:val="both"/>
        <w:rPr>
          <w:lang w:val="uk-UA"/>
        </w:rPr>
      </w:pPr>
      <w:r w:rsidRPr="009764FA">
        <w:rPr>
          <w:lang w:val="uk-UA"/>
        </w:rPr>
        <w:t>Нарахування амортизації нематеріальних активів здійснюється протягом строку їх корисного використання, який встановлюється комісі</w:t>
      </w:r>
      <w:r w:rsidR="00821711">
        <w:rPr>
          <w:lang w:val="uk-UA"/>
        </w:rPr>
        <w:t>єю</w:t>
      </w:r>
      <w:r w:rsidRPr="009764FA">
        <w:rPr>
          <w:lang w:val="uk-UA"/>
        </w:rPr>
        <w:t xml:space="preserve"> при визнанні цього об’єкта активом (при зарахуванні на баланс). </w:t>
      </w:r>
    </w:p>
    <w:p w:rsidR="000F1118" w:rsidRPr="0000779D" w:rsidRDefault="000F1118" w:rsidP="002B0860">
      <w:pPr>
        <w:ind w:firstLine="709"/>
        <w:jc w:val="both"/>
        <w:rPr>
          <w:lang w:val="uk-UA"/>
        </w:rPr>
      </w:pPr>
    </w:p>
    <w:p w:rsidR="000F1118" w:rsidRPr="0000779D" w:rsidRDefault="000F1118" w:rsidP="000F1118">
      <w:pPr>
        <w:pStyle w:val="a3"/>
        <w:jc w:val="center"/>
        <w:rPr>
          <w:b/>
          <w:sz w:val="24"/>
          <w:szCs w:val="24"/>
          <w:lang w:val="uk-UA"/>
        </w:rPr>
      </w:pPr>
      <w:r w:rsidRPr="0000779D">
        <w:rPr>
          <w:b/>
          <w:sz w:val="24"/>
          <w:szCs w:val="24"/>
          <w:lang w:val="uk-UA"/>
        </w:rPr>
        <w:t>Висновок щодо проекту фінансового плану</w:t>
      </w:r>
    </w:p>
    <w:p w:rsidR="000F1118" w:rsidRPr="0000779D" w:rsidRDefault="000F1118" w:rsidP="000F1118">
      <w:pPr>
        <w:pStyle w:val="a3"/>
        <w:jc w:val="center"/>
        <w:rPr>
          <w:b/>
          <w:sz w:val="24"/>
          <w:szCs w:val="24"/>
          <w:lang w:val="uk-UA"/>
        </w:rPr>
      </w:pPr>
    </w:p>
    <w:p w:rsidR="000F1118" w:rsidRPr="0000779D" w:rsidRDefault="000F1118" w:rsidP="002B0860">
      <w:pPr>
        <w:ind w:firstLine="709"/>
        <w:jc w:val="both"/>
        <w:rPr>
          <w:lang w:val="uk-UA"/>
        </w:rPr>
      </w:pPr>
      <w:r w:rsidRPr="0000779D">
        <w:rPr>
          <w:lang w:val="uk-UA"/>
        </w:rPr>
        <w:t>Наданий на затвердження фінансовий план КП «Надія» на 202</w:t>
      </w:r>
      <w:r w:rsidR="00821711">
        <w:rPr>
          <w:lang w:val="uk-UA"/>
        </w:rPr>
        <w:t>6</w:t>
      </w:r>
      <w:r w:rsidRPr="0000779D">
        <w:rPr>
          <w:lang w:val="uk-UA"/>
        </w:rPr>
        <w:t xml:space="preserve"> рік підготовлений з врахуванням економічних чинників та фінансово - економічної ситуації, що склалася в Україні.</w:t>
      </w:r>
    </w:p>
    <w:p w:rsidR="00D3047A" w:rsidRPr="00D27FEF" w:rsidRDefault="000F1118" w:rsidP="00D3047A">
      <w:pPr>
        <w:ind w:firstLine="540"/>
        <w:jc w:val="both"/>
        <w:rPr>
          <w:color w:val="000000" w:themeColor="text1"/>
          <w:lang w:val="uk-UA"/>
        </w:rPr>
      </w:pPr>
      <w:r w:rsidRPr="0000779D">
        <w:rPr>
          <w:lang w:val="uk-UA"/>
        </w:rPr>
        <w:t xml:space="preserve">Фінансовий результат від операційної діяльності </w:t>
      </w:r>
      <w:r w:rsidRPr="00E14A06">
        <w:rPr>
          <w:lang w:val="uk-UA"/>
        </w:rPr>
        <w:t xml:space="preserve">є </w:t>
      </w:r>
      <w:r w:rsidR="004E4D27" w:rsidRPr="00E14A06">
        <w:rPr>
          <w:lang w:val="uk-UA"/>
        </w:rPr>
        <w:t>без</w:t>
      </w:r>
      <w:r w:rsidRPr="00E14A06">
        <w:rPr>
          <w:lang w:val="uk-UA"/>
        </w:rPr>
        <w:t>збитковим</w:t>
      </w:r>
      <w:r w:rsidRPr="0000779D">
        <w:rPr>
          <w:lang w:val="uk-UA"/>
        </w:rPr>
        <w:t xml:space="preserve"> та складає  </w:t>
      </w:r>
      <w:r w:rsidR="00A80726">
        <w:rPr>
          <w:lang w:val="uk-UA"/>
        </w:rPr>
        <w:t>164,24</w:t>
      </w:r>
      <w:r w:rsidR="00D3047A">
        <w:rPr>
          <w:lang w:val="uk-UA"/>
        </w:rPr>
        <w:t xml:space="preserve"> тис. грн. </w:t>
      </w:r>
      <w:r w:rsidR="00D27FEF">
        <w:rPr>
          <w:lang w:val="uk-UA"/>
        </w:rPr>
        <w:t>П</w:t>
      </w:r>
      <w:r w:rsidR="00D3047A">
        <w:rPr>
          <w:lang w:val="uk-UA"/>
        </w:rPr>
        <w:t xml:space="preserve">рибуток </w:t>
      </w:r>
      <w:r w:rsidR="00D3047A" w:rsidRPr="008C4C44">
        <w:rPr>
          <w:lang w:val="uk-UA"/>
        </w:rPr>
        <w:t xml:space="preserve">по підприємству </w:t>
      </w:r>
      <w:r w:rsidR="00D27FEF">
        <w:rPr>
          <w:lang w:val="uk-UA"/>
        </w:rPr>
        <w:t xml:space="preserve">складає </w:t>
      </w:r>
      <w:r w:rsidR="00A80726">
        <w:rPr>
          <w:lang w:val="uk-UA"/>
        </w:rPr>
        <w:t>29,56</w:t>
      </w:r>
      <w:r w:rsidR="00E14A06">
        <w:rPr>
          <w:lang w:val="uk-UA"/>
        </w:rPr>
        <w:t xml:space="preserve"> тис.</w:t>
      </w:r>
      <w:r w:rsidR="00A80726">
        <w:rPr>
          <w:lang w:val="uk-UA"/>
        </w:rPr>
        <w:t xml:space="preserve"> </w:t>
      </w:r>
      <w:r w:rsidR="00E14A06">
        <w:rPr>
          <w:lang w:val="uk-UA"/>
        </w:rPr>
        <w:t>грн.</w:t>
      </w:r>
      <w:r w:rsidR="00D27FEF">
        <w:rPr>
          <w:lang w:val="uk-UA"/>
        </w:rPr>
        <w:t xml:space="preserve"> </w:t>
      </w:r>
      <w:r w:rsidR="00E14A06">
        <w:rPr>
          <w:lang w:val="uk-UA"/>
        </w:rPr>
        <w:t xml:space="preserve">Зменшення прибутку в порівнянні з минулим роком відбувається у зв’язку з </w:t>
      </w:r>
      <w:r w:rsidR="00D3047A" w:rsidRPr="00D27FEF">
        <w:rPr>
          <w:color w:val="000000" w:themeColor="text1"/>
          <w:lang w:val="uk-UA"/>
        </w:rPr>
        <w:t xml:space="preserve">недоотриманням доходів </w:t>
      </w:r>
      <w:r w:rsidR="00E14A06">
        <w:rPr>
          <w:color w:val="000000" w:themeColor="text1"/>
          <w:lang w:val="uk-UA"/>
        </w:rPr>
        <w:t xml:space="preserve">від надання послуг, так як діючи тарифи </w:t>
      </w:r>
      <w:r w:rsidR="00E14A06" w:rsidRPr="00D27FEF">
        <w:rPr>
          <w:color w:val="000000" w:themeColor="text1"/>
          <w:lang w:val="uk-UA"/>
        </w:rPr>
        <w:t xml:space="preserve">встановлені рішенням Виконавчого комітету </w:t>
      </w:r>
      <w:proofErr w:type="spellStart"/>
      <w:r w:rsidR="00E14A06" w:rsidRPr="00D27FEF">
        <w:rPr>
          <w:color w:val="000000" w:themeColor="text1"/>
          <w:lang w:val="uk-UA"/>
        </w:rPr>
        <w:t>Фонтанської</w:t>
      </w:r>
      <w:proofErr w:type="spellEnd"/>
      <w:r w:rsidR="00E14A06" w:rsidRPr="00D27FEF">
        <w:rPr>
          <w:color w:val="000000" w:themeColor="text1"/>
          <w:lang w:val="uk-UA"/>
        </w:rPr>
        <w:t xml:space="preserve"> сільської </w:t>
      </w:r>
      <w:r w:rsidR="00E14A06" w:rsidRPr="008C4C44">
        <w:rPr>
          <w:color w:val="000000"/>
          <w:lang w:val="uk-UA"/>
        </w:rPr>
        <w:t>рад</w:t>
      </w:r>
      <w:r w:rsidR="00E14A06">
        <w:rPr>
          <w:color w:val="000000"/>
          <w:lang w:val="uk-UA"/>
        </w:rPr>
        <w:t>и</w:t>
      </w:r>
      <w:r w:rsidR="00E14A06">
        <w:rPr>
          <w:color w:val="000000" w:themeColor="text1"/>
          <w:lang w:val="uk-UA"/>
        </w:rPr>
        <w:t xml:space="preserve"> менше економічно обґрунтованих.</w:t>
      </w:r>
    </w:p>
    <w:p w:rsidR="00D3047A" w:rsidRDefault="00D3047A" w:rsidP="00D3047A">
      <w:pPr>
        <w:jc w:val="center"/>
        <w:rPr>
          <w:b/>
          <w:bCs/>
          <w:u w:val="single"/>
          <w:lang w:val="uk-UA"/>
        </w:rPr>
      </w:pPr>
    </w:p>
    <w:p w:rsidR="00D3047A" w:rsidRDefault="00D3047A" w:rsidP="00D3047A">
      <w:pPr>
        <w:jc w:val="center"/>
        <w:rPr>
          <w:b/>
          <w:bCs/>
          <w:u w:val="single"/>
          <w:lang w:val="uk-UA"/>
        </w:rPr>
      </w:pPr>
      <w:r w:rsidRPr="00D20D02">
        <w:rPr>
          <w:b/>
          <w:bCs/>
          <w:u w:val="single"/>
          <w:lang w:val="uk-UA"/>
        </w:rPr>
        <w:t>Питання , які потребують вирішення у 202</w:t>
      </w:r>
      <w:r w:rsidR="00B57A30">
        <w:rPr>
          <w:b/>
          <w:bCs/>
          <w:u w:val="single"/>
          <w:lang w:val="uk-UA"/>
        </w:rPr>
        <w:t>6</w:t>
      </w:r>
      <w:r w:rsidRPr="00D20D02">
        <w:rPr>
          <w:b/>
          <w:bCs/>
          <w:u w:val="single"/>
          <w:lang w:val="uk-UA"/>
        </w:rPr>
        <w:t xml:space="preserve"> році:</w:t>
      </w:r>
    </w:p>
    <w:p w:rsidR="00D27FEF" w:rsidRDefault="00D27FEF" w:rsidP="00D27FEF">
      <w:pPr>
        <w:pStyle w:val="a5"/>
        <w:numPr>
          <w:ilvl w:val="0"/>
          <w:numId w:val="5"/>
        </w:numPr>
        <w:jc w:val="both"/>
        <w:rPr>
          <w:bCs/>
          <w:lang w:val="uk-UA"/>
        </w:rPr>
      </w:pPr>
      <w:r w:rsidRPr="00D27FEF">
        <w:rPr>
          <w:bCs/>
          <w:lang w:val="uk-UA"/>
        </w:rPr>
        <w:t>Підняття тарифів до економічно обґрунтованих, що приведе до зменшення навантаження на бюджет</w:t>
      </w:r>
    </w:p>
    <w:p w:rsidR="00A80726" w:rsidRPr="00D27FEF" w:rsidRDefault="00A80726" w:rsidP="00D27FEF">
      <w:pPr>
        <w:pStyle w:val="a5"/>
        <w:numPr>
          <w:ilvl w:val="0"/>
          <w:numId w:val="5"/>
        </w:numPr>
        <w:jc w:val="both"/>
        <w:rPr>
          <w:bCs/>
          <w:lang w:val="uk-UA"/>
        </w:rPr>
      </w:pPr>
      <w:r>
        <w:rPr>
          <w:bCs/>
          <w:lang w:val="uk-UA"/>
        </w:rPr>
        <w:t>Проведення капітальних та поточних ремонтів мереж водопостачання, що приведе до зменшення відсотка втрат водопостачання.</w:t>
      </w:r>
    </w:p>
    <w:p w:rsidR="00D3047A" w:rsidRDefault="00D3047A" w:rsidP="00D3047A">
      <w:pPr>
        <w:pStyle w:val="a5"/>
        <w:numPr>
          <w:ilvl w:val="0"/>
          <w:numId w:val="5"/>
        </w:numPr>
        <w:spacing w:line="259" w:lineRule="auto"/>
        <w:jc w:val="both"/>
        <w:rPr>
          <w:lang w:val="uk-UA"/>
        </w:rPr>
      </w:pPr>
      <w:r w:rsidRPr="00D20D02">
        <w:rPr>
          <w:lang w:val="uk-UA"/>
        </w:rPr>
        <w:t xml:space="preserve">Будівництво </w:t>
      </w:r>
      <w:r w:rsidR="00A80726">
        <w:rPr>
          <w:lang w:val="uk-UA"/>
        </w:rPr>
        <w:t>бази</w:t>
      </w:r>
      <w:r w:rsidRPr="00D20D02">
        <w:rPr>
          <w:lang w:val="uk-UA"/>
        </w:rPr>
        <w:t xml:space="preserve"> для зберігання та ремонту автотранспорту – </w:t>
      </w:r>
      <w:r w:rsidR="00F16609">
        <w:rPr>
          <w:lang w:val="uk-UA"/>
        </w:rPr>
        <w:t>45</w:t>
      </w:r>
      <w:r w:rsidRPr="00D20D02">
        <w:rPr>
          <w:lang w:val="uk-UA"/>
        </w:rPr>
        <w:t>00000 грн;</w:t>
      </w:r>
    </w:p>
    <w:p w:rsidR="00D3047A" w:rsidRDefault="00D3047A" w:rsidP="000F1118">
      <w:pPr>
        <w:pStyle w:val="a3"/>
        <w:jc w:val="center"/>
        <w:rPr>
          <w:b/>
          <w:sz w:val="24"/>
          <w:szCs w:val="24"/>
          <w:lang w:val="uk-UA"/>
        </w:rPr>
      </w:pPr>
    </w:p>
    <w:p w:rsidR="000F1118" w:rsidRPr="0000779D" w:rsidRDefault="000F1118" w:rsidP="000B074F">
      <w:pPr>
        <w:pStyle w:val="a3"/>
        <w:ind w:firstLine="720"/>
      </w:pPr>
      <w:r w:rsidRPr="0000779D">
        <w:rPr>
          <w:b/>
          <w:sz w:val="24"/>
          <w:szCs w:val="24"/>
          <w:lang w:val="uk-UA"/>
        </w:rPr>
        <w:t xml:space="preserve">Вважаємо проект фінансового плану економічно обґрунтованим, просимо прийняти його до розгляду та затвердження в установленому порядку. </w:t>
      </w:r>
    </w:p>
    <w:sectPr w:rsidR="000F1118" w:rsidRPr="0000779D" w:rsidSect="000B074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D0DFE"/>
    <w:multiLevelType w:val="hybridMultilevel"/>
    <w:tmpl w:val="1E447F38"/>
    <w:lvl w:ilvl="0" w:tplc="344A85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C900CE"/>
    <w:multiLevelType w:val="hybridMultilevel"/>
    <w:tmpl w:val="D95C294E"/>
    <w:lvl w:ilvl="0" w:tplc="903842A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B020B36"/>
    <w:multiLevelType w:val="hybridMultilevel"/>
    <w:tmpl w:val="3912D1BC"/>
    <w:lvl w:ilvl="0" w:tplc="939AEF9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55D3D83"/>
    <w:multiLevelType w:val="hybridMultilevel"/>
    <w:tmpl w:val="353230DC"/>
    <w:lvl w:ilvl="0" w:tplc="3320BB9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407798"/>
    <w:multiLevelType w:val="hybridMultilevel"/>
    <w:tmpl w:val="94146F64"/>
    <w:lvl w:ilvl="0" w:tplc="DA188E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06B47"/>
    <w:multiLevelType w:val="hybridMultilevel"/>
    <w:tmpl w:val="5256039A"/>
    <w:lvl w:ilvl="0" w:tplc="A6B2AF0E">
      <w:start w:val="10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F2"/>
    <w:rsid w:val="0000779D"/>
    <w:rsid w:val="000244F7"/>
    <w:rsid w:val="00036171"/>
    <w:rsid w:val="000A5D50"/>
    <w:rsid w:val="000B074F"/>
    <w:rsid w:val="000F1118"/>
    <w:rsid w:val="001A2851"/>
    <w:rsid w:val="002713CD"/>
    <w:rsid w:val="002A6158"/>
    <w:rsid w:val="002B0860"/>
    <w:rsid w:val="00333BA0"/>
    <w:rsid w:val="003456E9"/>
    <w:rsid w:val="00353EFA"/>
    <w:rsid w:val="00365BBD"/>
    <w:rsid w:val="003B47FF"/>
    <w:rsid w:val="003F5C5C"/>
    <w:rsid w:val="004D79A8"/>
    <w:rsid w:val="004E4D27"/>
    <w:rsid w:val="005E0AF2"/>
    <w:rsid w:val="00655B01"/>
    <w:rsid w:val="0067072B"/>
    <w:rsid w:val="007855E0"/>
    <w:rsid w:val="008016BD"/>
    <w:rsid w:val="00821711"/>
    <w:rsid w:val="00853366"/>
    <w:rsid w:val="00870CA2"/>
    <w:rsid w:val="00907BF7"/>
    <w:rsid w:val="0095403B"/>
    <w:rsid w:val="009944AA"/>
    <w:rsid w:val="009A1EE8"/>
    <w:rsid w:val="009A422B"/>
    <w:rsid w:val="00A070D1"/>
    <w:rsid w:val="00A374CA"/>
    <w:rsid w:val="00A43C5B"/>
    <w:rsid w:val="00A50E1E"/>
    <w:rsid w:val="00A53279"/>
    <w:rsid w:val="00A80726"/>
    <w:rsid w:val="00AC2021"/>
    <w:rsid w:val="00B05D37"/>
    <w:rsid w:val="00B11178"/>
    <w:rsid w:val="00B35F60"/>
    <w:rsid w:val="00B57A30"/>
    <w:rsid w:val="00B74042"/>
    <w:rsid w:val="00C66FC8"/>
    <w:rsid w:val="00CD1D05"/>
    <w:rsid w:val="00D0586F"/>
    <w:rsid w:val="00D27FEF"/>
    <w:rsid w:val="00D3047A"/>
    <w:rsid w:val="00D42DE0"/>
    <w:rsid w:val="00D5064C"/>
    <w:rsid w:val="00D75604"/>
    <w:rsid w:val="00D77C51"/>
    <w:rsid w:val="00E14A06"/>
    <w:rsid w:val="00E94F35"/>
    <w:rsid w:val="00EA4C6A"/>
    <w:rsid w:val="00F1110D"/>
    <w:rsid w:val="00F16609"/>
    <w:rsid w:val="00F219DB"/>
    <w:rsid w:val="00F5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9B19"/>
  <w15:chartTrackingRefBased/>
  <w15:docId w15:val="{0AC34EAF-C8AD-45F5-B602-2D85F20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4F35"/>
    <w:pPr>
      <w:jc w:val="both"/>
    </w:pPr>
    <w:rPr>
      <w:sz w:val="28"/>
      <w:szCs w:val="20"/>
      <w:lang w:val="en-US"/>
    </w:rPr>
  </w:style>
  <w:style w:type="character" w:customStyle="1" w:styleId="a4">
    <w:name w:val="Основний текст Знак"/>
    <w:basedOn w:val="a0"/>
    <w:link w:val="a3"/>
    <w:rsid w:val="00E94F3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2B08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70CA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70CA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E4D27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4E4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D3047A"/>
    <w:pPr>
      <w:spacing w:before="100" w:beforeAutospacing="1" w:after="119"/>
    </w:pPr>
    <w:rPr>
      <w:rFonts w:eastAsia="Calibri"/>
    </w:rPr>
  </w:style>
  <w:style w:type="table" w:styleId="ab">
    <w:name w:val="Table Grid"/>
    <w:basedOn w:val="a1"/>
    <w:uiPriority w:val="39"/>
    <w:rsid w:val="00D3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5137</Words>
  <Characters>2929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Tanya</cp:lastModifiedBy>
  <cp:revision>16</cp:revision>
  <cp:lastPrinted>2025-12-16T07:25:00Z</cp:lastPrinted>
  <dcterms:created xsi:type="dcterms:W3CDTF">2023-12-13T13:42:00Z</dcterms:created>
  <dcterms:modified xsi:type="dcterms:W3CDTF">2025-12-30T14:14:00Z</dcterms:modified>
</cp:coreProperties>
</file>