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48CC2340" w14:textId="5C1CA84A" w:rsidR="00320DF8" w:rsidRPr="00373611" w:rsidRDefault="00320DF8" w:rsidP="00320DF8">
      <w:pPr>
        <w:numPr>
          <w:ilvl w:val="0"/>
          <w:numId w:val="9"/>
        </w:numPr>
        <w:spacing w:after="0" w:line="240" w:lineRule="auto"/>
        <w:ind w:left="4820" w:hanging="482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від “</w:t>
      </w:r>
      <w:r w:rsidRPr="00373611">
        <w:rPr>
          <w:rFonts w:ascii="Times New Roman" w:hAnsi="Times New Roman"/>
          <w:b/>
          <w:bCs/>
          <w:sz w:val="26"/>
          <w:szCs w:val="26"/>
        </w:rPr>
        <w:t>0</w:t>
      </w:r>
      <w:r>
        <w:rPr>
          <w:rFonts w:ascii="Times New Roman" w:hAnsi="Times New Roman"/>
          <w:b/>
          <w:bCs/>
          <w:sz w:val="26"/>
          <w:szCs w:val="26"/>
        </w:rPr>
        <w:t>7</w:t>
      </w:r>
      <w:r w:rsidRPr="00373611">
        <w:rPr>
          <w:rFonts w:ascii="Times New Roman" w:hAnsi="Times New Roman"/>
          <w:b/>
          <w:bCs/>
          <w:sz w:val="26"/>
          <w:szCs w:val="26"/>
        </w:rPr>
        <w:t xml:space="preserve">” </w:t>
      </w:r>
      <w:r>
        <w:rPr>
          <w:rFonts w:ascii="Times New Roman" w:hAnsi="Times New Roman"/>
          <w:b/>
          <w:bCs/>
          <w:sz w:val="26"/>
          <w:szCs w:val="26"/>
        </w:rPr>
        <w:t>травня</w:t>
      </w:r>
      <w:r w:rsidRPr="00373611">
        <w:rPr>
          <w:rFonts w:ascii="Times New Roman" w:hAnsi="Times New Roman"/>
          <w:b/>
          <w:bCs/>
          <w:sz w:val="26"/>
          <w:szCs w:val="26"/>
        </w:rPr>
        <w:t xml:space="preserve"> 2026 року</w:t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</w:r>
      <w:r w:rsidRPr="00373611">
        <w:rPr>
          <w:rFonts w:ascii="Times New Roman" w:hAnsi="Times New Roman"/>
          <w:b/>
          <w:bCs/>
          <w:sz w:val="26"/>
          <w:szCs w:val="26"/>
        </w:rPr>
        <w:tab/>
        <w:t xml:space="preserve"> №3</w:t>
      </w:r>
      <w:r>
        <w:rPr>
          <w:rFonts w:ascii="Times New Roman" w:hAnsi="Times New Roman"/>
          <w:b/>
          <w:bCs/>
          <w:sz w:val="26"/>
          <w:szCs w:val="26"/>
        </w:rPr>
        <w:t>8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46</w:t>
      </w:r>
      <w:r w:rsidRPr="00373611">
        <w:rPr>
          <w:rFonts w:ascii="Times New Roman" w:hAnsi="Times New Roman"/>
          <w:b/>
          <w:bCs/>
          <w:sz w:val="26"/>
          <w:szCs w:val="26"/>
        </w:rPr>
        <w:t>-</w:t>
      </w:r>
      <w:r w:rsidRPr="00373611">
        <w:rPr>
          <w:rFonts w:ascii="Times New Roman" w:hAnsi="Times New Roman"/>
          <w:b/>
          <w:sz w:val="26"/>
          <w:szCs w:val="26"/>
        </w:rPr>
        <w:t>VIII</w:t>
      </w:r>
    </w:p>
    <w:p w14:paraId="1513D94B" w14:textId="77777777" w:rsidR="0012489E" w:rsidRPr="00320DF8" w:rsidRDefault="0012489E" w:rsidP="00320DF8">
      <w:pPr>
        <w:spacing w:after="0" w:line="240" w:lineRule="auto"/>
        <w:rPr>
          <w:rFonts w:ascii="Times New Roman" w:hAnsi="Times New Roman"/>
          <w:bCs/>
        </w:rPr>
      </w:pPr>
    </w:p>
    <w:p w14:paraId="3817B481" w14:textId="596106AF" w:rsidR="0056276B" w:rsidRPr="00373611" w:rsidRDefault="0056276B" w:rsidP="0012489E">
      <w:pPr>
        <w:tabs>
          <w:tab w:val="left" w:pos="242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внесення змін до рішення Фонтанської сільської ради від 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22.12.2025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202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роки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»</w:t>
      </w:r>
    </w:p>
    <w:p w14:paraId="783270AE" w14:textId="06BB3395" w:rsidR="007F3C21" w:rsidRPr="00373611" w:rsidRDefault="007F3C21" w:rsidP="00A24362">
      <w:pPr>
        <w:pStyle w:val="a9"/>
        <w:ind w:left="567"/>
        <w:rPr>
          <w:rFonts w:ascii="Times New Roman" w:hAnsi="Times New Roman"/>
          <w:b/>
          <w:sz w:val="26"/>
          <w:szCs w:val="26"/>
          <w:highlight w:val="yellow"/>
          <w:lang w:val="uk-UA" w:eastAsia="uk-UA"/>
        </w:rPr>
      </w:pPr>
    </w:p>
    <w:p w14:paraId="0301946D" w14:textId="46837624" w:rsidR="001053BB" w:rsidRPr="00373611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З</w:t>
      </w:r>
      <w:r w:rsidR="00EB3E62" w:rsidRPr="00373611">
        <w:rPr>
          <w:rFonts w:ascii="Times New Roman" w:hAnsi="Times New Roman"/>
          <w:sz w:val="26"/>
          <w:szCs w:val="26"/>
          <w:lang w:val="uk-UA"/>
        </w:rPr>
        <w:t xml:space="preserve"> метою </w:t>
      </w:r>
      <w:r w:rsidR="004308A5" w:rsidRPr="00373611">
        <w:rPr>
          <w:rFonts w:ascii="Times New Roman" w:hAnsi="Times New Roman"/>
          <w:sz w:val="26"/>
          <w:szCs w:val="26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373611">
        <w:rPr>
          <w:rFonts w:ascii="Times New Roman" w:hAnsi="Times New Roman"/>
          <w:sz w:val="26"/>
          <w:szCs w:val="26"/>
          <w:lang w:val="uk-UA"/>
        </w:rPr>
        <w:t xml:space="preserve">враховуючи Указ Президента України від 24 лютого 2022 року №64/2022 «Про введення воєнного стану в Україні», </w:t>
      </w:r>
      <w:r w:rsidR="00011D8C" w:rsidRPr="0037361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3A5BB4" w:rsidRPr="00373611">
        <w:rPr>
          <w:rFonts w:ascii="Times New Roman" w:hAnsi="Times New Roman"/>
          <w:sz w:val="26"/>
          <w:szCs w:val="26"/>
          <w:lang w:val="uk-UA"/>
        </w:rPr>
        <w:t>відповідно до Прикінцевих та перехідних положень Бюджетного кодексу України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, ст.26, ч.1 ст.59 Закону України «Про місц</w:t>
      </w:r>
      <w:r w:rsidR="00D270A1" w:rsidRPr="00373611">
        <w:rPr>
          <w:rFonts w:ascii="Times New Roman" w:hAnsi="Times New Roman"/>
          <w:sz w:val="26"/>
          <w:szCs w:val="26"/>
          <w:lang w:val="uk-UA"/>
        </w:rPr>
        <w:t xml:space="preserve">еве самоврядування в Україні», 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Фонтанська сільська рада Одес</w:t>
      </w:r>
      <w:r w:rsidR="0054394A" w:rsidRPr="00373611">
        <w:rPr>
          <w:rFonts w:ascii="Times New Roman" w:hAnsi="Times New Roman"/>
          <w:sz w:val="26"/>
          <w:szCs w:val="26"/>
          <w:lang w:val="uk-UA"/>
        </w:rPr>
        <w:t>ького району Одеської області,</w:t>
      </w:r>
    </w:p>
    <w:p w14:paraId="4380FB65" w14:textId="0E2FC032" w:rsidR="006D4A8D" w:rsidRPr="00373611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ВИРІШИ</w:t>
      </w:r>
      <w:r w:rsidR="009D2AB4" w:rsidRPr="00373611">
        <w:rPr>
          <w:rFonts w:ascii="Times New Roman" w:hAnsi="Times New Roman"/>
          <w:b/>
          <w:sz w:val="26"/>
          <w:szCs w:val="26"/>
          <w:lang w:val="uk-UA" w:eastAsia="uk-UA"/>
        </w:rPr>
        <w:t>ЛА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:</w:t>
      </w:r>
    </w:p>
    <w:p w14:paraId="74C6798A" w14:textId="14FC94A0" w:rsidR="004308A5" w:rsidRPr="00373611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до рішення Фонтанської сільської ради від </w:t>
      </w:r>
      <w:r w:rsidR="00164545" w:rsidRPr="00373611">
        <w:rPr>
          <w:sz w:val="26"/>
          <w:szCs w:val="26"/>
        </w:rPr>
        <w:t>22.12.2025</w:t>
      </w:r>
      <w:r w:rsidRPr="00373611">
        <w:rPr>
          <w:sz w:val="26"/>
          <w:szCs w:val="26"/>
        </w:rPr>
        <w:t xml:space="preserve"> року №</w:t>
      </w:r>
      <w:r w:rsidR="00164545" w:rsidRPr="00373611">
        <w:rPr>
          <w:sz w:val="26"/>
          <w:szCs w:val="26"/>
        </w:rPr>
        <w:t>3554</w:t>
      </w:r>
      <w:r w:rsidRPr="00373611">
        <w:rPr>
          <w:sz w:val="26"/>
          <w:szCs w:val="26"/>
        </w:rPr>
        <w:t>–</w:t>
      </w:r>
      <w:r w:rsidRPr="00373611">
        <w:rPr>
          <w:sz w:val="26"/>
          <w:szCs w:val="26"/>
          <w:lang w:val="en-US"/>
        </w:rPr>
        <w:t>VIII</w:t>
      </w:r>
      <w:r w:rsidRPr="00373611">
        <w:rPr>
          <w:b/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«</w:t>
      </w:r>
      <w:r w:rsidR="009E2986" w:rsidRPr="00373611">
        <w:rPr>
          <w:bCs/>
          <w:sz w:val="26"/>
          <w:szCs w:val="26"/>
        </w:rPr>
        <w:t>Про затвердження П</w:t>
      </w:r>
      <w:r w:rsidR="009E2986" w:rsidRPr="00373611">
        <w:rPr>
          <w:sz w:val="26"/>
          <w:szCs w:val="26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373611">
        <w:rPr>
          <w:sz w:val="26"/>
          <w:szCs w:val="26"/>
          <w:lang w:eastAsia="uk-UA"/>
        </w:rPr>
        <w:t>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C1082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C1082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>.</w:t>
      </w:r>
    </w:p>
    <w:p w14:paraId="7D319F23" w14:textId="7E6C804A" w:rsidR="004308A5" w:rsidRPr="00373611" w:rsidRDefault="004308A5" w:rsidP="00EE399F">
      <w:pPr>
        <w:pStyle w:val="newsp"/>
        <w:spacing w:before="0" w:after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>1.1.</w:t>
      </w:r>
      <w:r w:rsidR="00A74CEF" w:rsidRPr="00373611">
        <w:rPr>
          <w:sz w:val="26"/>
          <w:szCs w:val="26"/>
        </w:rPr>
        <w:tab/>
      </w: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Паспорт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E2986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E2986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="00791AB0" w:rsidRPr="00373611">
        <w:rPr>
          <w:sz w:val="26"/>
          <w:szCs w:val="26"/>
        </w:rPr>
        <w:t xml:space="preserve"> п.1 </w:t>
      </w:r>
      <w:r w:rsidR="00791AB0" w:rsidRPr="00373611">
        <w:rPr>
          <w:bCs/>
          <w:sz w:val="26"/>
          <w:szCs w:val="26"/>
        </w:rPr>
        <w:t>Програми</w:t>
      </w:r>
      <w:r w:rsidR="00791AB0" w:rsidRPr="00373611">
        <w:rPr>
          <w:sz w:val="26"/>
          <w:szCs w:val="26"/>
        </w:rPr>
        <w:t xml:space="preserve"> </w:t>
      </w:r>
      <w:r w:rsidR="00791AB0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791AB0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791AB0" w:rsidRPr="00373611">
        <w:rPr>
          <w:sz w:val="26"/>
          <w:szCs w:val="26"/>
          <w:lang w:eastAsia="uk-UA"/>
        </w:rPr>
        <w:t xml:space="preserve"> роки </w:t>
      </w:r>
      <w:r w:rsidR="00791AB0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 xml:space="preserve"> (додаток 1до рішення);</w:t>
      </w:r>
    </w:p>
    <w:p w14:paraId="73B2F33A" w14:textId="3044B436" w:rsidR="004308A5" w:rsidRPr="00373611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напрями діяльності і заходи реалізації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</w:rPr>
        <w:t>6</w:t>
      </w:r>
      <w:r w:rsidR="009E2986" w:rsidRPr="00373611">
        <w:rPr>
          <w:sz w:val="26"/>
          <w:szCs w:val="26"/>
        </w:rPr>
        <w:t>-20</w:t>
      </w:r>
      <w:r w:rsidR="00164545" w:rsidRPr="00373611">
        <w:rPr>
          <w:sz w:val="26"/>
          <w:szCs w:val="26"/>
        </w:rPr>
        <w:t>30</w:t>
      </w:r>
      <w:r w:rsidR="009E2986" w:rsidRPr="00373611">
        <w:rPr>
          <w:sz w:val="26"/>
          <w:szCs w:val="26"/>
        </w:rPr>
        <w:t xml:space="preserve"> роки » </w:t>
      </w:r>
      <w:r w:rsidRPr="00373611">
        <w:rPr>
          <w:sz w:val="26"/>
          <w:szCs w:val="26"/>
        </w:rPr>
        <w:t>(додаток 1до Програми);</w:t>
      </w:r>
    </w:p>
    <w:p w14:paraId="3329FF78" w14:textId="36F6EDA9" w:rsidR="004308A5" w:rsidRPr="00373611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1.3</w:t>
      </w:r>
      <w:r w:rsidR="005F0D6C" w:rsidRPr="00373611">
        <w:rPr>
          <w:rFonts w:ascii="Times New Roman" w:hAnsi="Times New Roman"/>
          <w:sz w:val="26"/>
          <w:szCs w:val="26"/>
          <w:lang w:val="uk-UA"/>
        </w:rPr>
        <w:t>.</w:t>
      </w:r>
      <w:r w:rsidR="00A74CEF" w:rsidRPr="00373611">
        <w:rPr>
          <w:rFonts w:ascii="Times New Roman" w:hAnsi="Times New Roman"/>
          <w:sz w:val="26"/>
          <w:szCs w:val="26"/>
          <w:lang w:val="uk-UA"/>
        </w:rPr>
        <w:tab/>
      </w:r>
      <w:r w:rsidRPr="00373611">
        <w:rPr>
          <w:rFonts w:ascii="Times New Roman" w:hAnsi="Times New Roman"/>
          <w:sz w:val="26"/>
          <w:szCs w:val="26"/>
        </w:rPr>
        <w:t xml:space="preserve">Внести </w:t>
      </w:r>
      <w:r w:rsidRPr="00373611">
        <w:rPr>
          <w:rFonts w:ascii="Times New Roman" w:hAnsi="Times New Roman"/>
          <w:sz w:val="26"/>
          <w:szCs w:val="26"/>
          <w:lang w:val="uk-UA"/>
        </w:rPr>
        <w:t>зміни та затвердити в новій редакції</w:t>
      </w:r>
      <w:r w:rsidRPr="00373611">
        <w:rPr>
          <w:rFonts w:ascii="Times New Roman" w:hAnsi="Times New Roman"/>
          <w:sz w:val="26"/>
          <w:szCs w:val="26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показники результативності П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рограми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E2986" w:rsidRPr="00373611">
        <w:rPr>
          <w:rFonts w:ascii="Times New Roman" w:hAnsi="Times New Roman"/>
          <w:sz w:val="26"/>
          <w:szCs w:val="26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="009E2986" w:rsidRPr="00373611">
        <w:rPr>
          <w:rFonts w:ascii="Times New Roman" w:hAnsi="Times New Roman"/>
          <w:sz w:val="26"/>
          <w:szCs w:val="26"/>
        </w:rPr>
        <w:t>»</w:t>
      </w:r>
      <w:r w:rsidR="009E2986"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(додаток 2 до Програми);</w:t>
      </w:r>
    </w:p>
    <w:p w14:paraId="72B8BF35" w14:textId="0B4DB142" w:rsidR="004308A5" w:rsidRPr="00373611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  <w:sz w:val="26"/>
          <w:szCs w:val="26"/>
        </w:rPr>
      </w:pPr>
      <w:r w:rsidRPr="00373611">
        <w:rPr>
          <w:b w:val="0"/>
          <w:sz w:val="26"/>
          <w:szCs w:val="26"/>
        </w:rPr>
        <w:t>1.4</w:t>
      </w:r>
      <w:r w:rsidR="005F0D6C" w:rsidRPr="00373611">
        <w:rPr>
          <w:b w:val="0"/>
          <w:sz w:val="26"/>
          <w:szCs w:val="26"/>
        </w:rPr>
        <w:t>.</w:t>
      </w:r>
      <w:r w:rsidR="00A74CEF" w:rsidRPr="00373611">
        <w:rPr>
          <w:b w:val="0"/>
          <w:sz w:val="26"/>
          <w:szCs w:val="26"/>
        </w:rPr>
        <w:tab/>
      </w:r>
      <w:r w:rsidRPr="00373611">
        <w:rPr>
          <w:b w:val="0"/>
          <w:sz w:val="26"/>
          <w:szCs w:val="26"/>
        </w:rPr>
        <w:t xml:space="preserve">Внести зміни та затвердити в новій редакції </w:t>
      </w:r>
      <w:r w:rsidRPr="00373611">
        <w:rPr>
          <w:rStyle w:val="af2"/>
          <w:sz w:val="26"/>
          <w:szCs w:val="26"/>
        </w:rPr>
        <w:t xml:space="preserve">ресурсне забезпечення </w:t>
      </w:r>
      <w:r w:rsidRPr="00373611">
        <w:rPr>
          <w:b w:val="0"/>
          <w:sz w:val="26"/>
          <w:szCs w:val="26"/>
        </w:rPr>
        <w:t xml:space="preserve">Програми </w:t>
      </w:r>
      <w:r w:rsidR="009E2986" w:rsidRPr="00373611">
        <w:rPr>
          <w:b w:val="0"/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b w:val="0"/>
          <w:sz w:val="26"/>
          <w:szCs w:val="26"/>
        </w:rPr>
        <w:t>6</w:t>
      </w:r>
      <w:r w:rsidR="009E2986" w:rsidRPr="00373611">
        <w:rPr>
          <w:b w:val="0"/>
          <w:sz w:val="26"/>
          <w:szCs w:val="26"/>
        </w:rPr>
        <w:t>-20</w:t>
      </w:r>
      <w:r w:rsidR="00164545" w:rsidRPr="00373611">
        <w:rPr>
          <w:b w:val="0"/>
          <w:sz w:val="26"/>
          <w:szCs w:val="26"/>
        </w:rPr>
        <w:t>30</w:t>
      </w:r>
      <w:r w:rsidR="009E2986" w:rsidRPr="00373611">
        <w:rPr>
          <w:b w:val="0"/>
          <w:sz w:val="26"/>
          <w:szCs w:val="26"/>
        </w:rPr>
        <w:t xml:space="preserve"> роки » </w:t>
      </w:r>
      <w:r w:rsidRPr="00373611">
        <w:rPr>
          <w:b w:val="0"/>
          <w:sz w:val="26"/>
          <w:szCs w:val="26"/>
        </w:rPr>
        <w:t>(додаток 3 до Програми).</w:t>
      </w:r>
    </w:p>
    <w:p w14:paraId="49E1C4F0" w14:textId="18E838CD" w:rsidR="00EE399F" w:rsidRPr="00373611" w:rsidRDefault="006C51C6" w:rsidP="00275A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2. Всі інші положення рішення Фонтанської сільської ради від 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2</w:t>
      </w:r>
      <w:r w:rsidRPr="00373611">
        <w:rPr>
          <w:rFonts w:ascii="Times New Roman" w:hAnsi="Times New Roman"/>
          <w:sz w:val="26"/>
          <w:szCs w:val="26"/>
          <w:lang w:val="uk-UA"/>
        </w:rPr>
        <w:t>.12.202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5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рограми сприяння оборонній та мобілізаційній підготовці 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lastRenderedPageBreak/>
        <w:t>Фонтанської сільської територіальної громади Одеського району Одеської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» 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з внесеними змінами 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залишити без змін.</w:t>
      </w:r>
    </w:p>
    <w:p w14:paraId="083EFC1C" w14:textId="1835F837" w:rsidR="0075102F" w:rsidRPr="00373611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  <w:r w:rsidRPr="0037361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 w:rsidR="007A01C5" w:rsidRPr="00373611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Контроль за виконанням даного рішення покласти на постійн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у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комісі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ю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заступника 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голов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и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комісії Альона ВАВІЛОВА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).</w:t>
      </w:r>
      <w:r w:rsidR="009D2AB4" w:rsidRPr="00373611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</w:p>
    <w:p w14:paraId="21D7DED5" w14:textId="77777777" w:rsidR="00B12304" w:rsidRPr="00373611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6B3E7A" w14:textId="1948C8C1" w:rsidR="00A24362" w:rsidRPr="003736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tbl>
      <w:tblPr>
        <w:tblW w:w="14887" w:type="dxa"/>
        <w:tblInd w:w="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87"/>
      </w:tblGrid>
      <w:tr w:rsidR="00B309F3" w:rsidRPr="00D85BBB" w14:paraId="735ED882" w14:textId="77777777" w:rsidTr="00610A39">
        <w:trPr>
          <w:trHeight w:val="247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</w:tcPr>
          <w:p w14:paraId="3922CEA2" w14:textId="77777777" w:rsidR="00FE5952" w:rsidRDefault="00FE5952" w:rsidP="00FE5952">
            <w:pPr>
              <w:rPr>
                <w:bCs/>
                <w:sz w:val="28"/>
                <w:szCs w:val="28"/>
                <w:highlight w:val="yellow"/>
              </w:rPr>
            </w:pPr>
            <w:r w:rsidRPr="002A56F4">
              <w:rPr>
                <w:rFonts w:ascii="Times New Roman" w:hAnsi="Times New Roman"/>
                <w:b/>
                <w:sz w:val="26"/>
                <w:szCs w:val="26"/>
              </w:rPr>
              <w:t>В.о. сільського голови</w:t>
            </w:r>
            <w:r w:rsidRPr="002A56F4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2A56F4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</w:t>
            </w:r>
            <w:r w:rsidRPr="002A56F4">
              <w:rPr>
                <w:rFonts w:ascii="Times New Roman" w:hAnsi="Times New Roman"/>
                <w:b/>
                <w:sz w:val="26"/>
                <w:szCs w:val="26"/>
              </w:rPr>
              <w:tab/>
            </w:r>
            <w:r w:rsidRPr="002A56F4">
              <w:rPr>
                <w:rFonts w:ascii="Times New Roman" w:hAnsi="Times New Roman"/>
                <w:b/>
                <w:sz w:val="26"/>
                <w:szCs w:val="26"/>
              </w:rPr>
              <w:tab/>
              <w:t>Андрій СЕРЕБРІЙ</w:t>
            </w:r>
          </w:p>
          <w:p w14:paraId="3171BCA5" w14:textId="77777777" w:rsidR="00B309F3" w:rsidRPr="00B1766B" w:rsidRDefault="00B309F3" w:rsidP="001248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86FD49B" w14:textId="353C0CC2" w:rsidR="00A24362" w:rsidRPr="00D302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2BA56DA" w14:textId="38DE8BD4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CA7055A" w14:textId="3E853685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7896A94" w14:textId="0DCA7694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B33B1D5" w14:textId="7939F65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FAC7020" w14:textId="555653AA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BD48B01" w14:textId="7777777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DA7F06E" w14:textId="7EBF7503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1F8F81E" w14:textId="77777777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9A18AB8" w14:textId="55537FD9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F5C7AD9" w14:textId="1236C7DA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A9D9ECE" w14:textId="1D8B140B" w:rsidR="007E6B4B" w:rsidRDefault="007E6B4B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B8CB898" w14:textId="60928DD0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157424C" w14:textId="3B97405E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48D1936" w14:textId="240CF5E6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4062D72" w14:textId="4C0A2F60" w:rsidR="00B50EA8" w:rsidRDefault="00B50EA8" w:rsidP="00B50EA8">
      <w:pPr>
        <w:rPr>
          <w:sz w:val="26"/>
          <w:szCs w:val="26"/>
          <w:lang w:val="uk-UA"/>
        </w:rPr>
      </w:pPr>
    </w:p>
    <w:p w14:paraId="3DC86239" w14:textId="4B6CF135" w:rsidR="00B50EA8" w:rsidRDefault="00B50EA8" w:rsidP="00B50EA8">
      <w:pPr>
        <w:rPr>
          <w:sz w:val="26"/>
          <w:szCs w:val="26"/>
          <w:lang w:val="uk-UA"/>
        </w:rPr>
      </w:pPr>
    </w:p>
    <w:p w14:paraId="2D6E698D" w14:textId="7FD42441" w:rsidR="00B50EA8" w:rsidRDefault="00B50EA8" w:rsidP="00B50EA8">
      <w:pPr>
        <w:rPr>
          <w:sz w:val="26"/>
          <w:szCs w:val="26"/>
          <w:lang w:val="uk-UA"/>
        </w:rPr>
      </w:pPr>
    </w:p>
    <w:p w14:paraId="087FD03F" w14:textId="2A64B377" w:rsidR="00B50EA8" w:rsidRDefault="00B50EA8" w:rsidP="00B50EA8">
      <w:pPr>
        <w:rPr>
          <w:sz w:val="26"/>
          <w:szCs w:val="26"/>
          <w:lang w:val="uk-UA"/>
        </w:rPr>
      </w:pPr>
    </w:p>
    <w:p w14:paraId="513B9C67" w14:textId="655EAAFC" w:rsidR="00D44DD6" w:rsidRPr="00C01904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C01904">
        <w:rPr>
          <w:rFonts w:ascii="Times New Roman" w:hAnsi="Times New Roman"/>
          <w:sz w:val="16"/>
          <w:szCs w:val="16"/>
          <w:lang w:val="uk-UA"/>
        </w:rPr>
        <w:t>аток №1 д</w:t>
      </w:r>
      <w:bookmarkStart w:id="3" w:name="_GoBack"/>
      <w:bookmarkEnd w:id="3"/>
      <w:r w:rsidR="00D44DD6" w:rsidRPr="00C01904">
        <w:rPr>
          <w:rFonts w:ascii="Times New Roman" w:hAnsi="Times New Roman"/>
          <w:sz w:val="16"/>
          <w:szCs w:val="16"/>
          <w:lang w:val="uk-UA"/>
        </w:rPr>
        <w:t xml:space="preserve">о рішення </w:t>
      </w:r>
      <w:r w:rsidR="00C71FF9" w:rsidRPr="00C01904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C01904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73DA11F2" w:rsidR="00D44DD6" w:rsidRPr="00C01904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320DF8">
        <w:rPr>
          <w:rFonts w:ascii="Times New Roman" w:hAnsi="Times New Roman"/>
          <w:sz w:val="16"/>
          <w:szCs w:val="16"/>
          <w:lang w:val="uk-UA"/>
        </w:rPr>
        <w:t>3846-</w:t>
      </w:r>
      <w:r w:rsidR="003008B7" w:rsidRPr="00C01904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320DF8">
        <w:rPr>
          <w:rFonts w:ascii="Times New Roman" w:hAnsi="Times New Roman"/>
          <w:sz w:val="16"/>
          <w:szCs w:val="16"/>
          <w:lang w:val="uk-UA"/>
        </w:rPr>
        <w:t>07.05</w:t>
      </w:r>
      <w:r w:rsidR="008F6FF6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C01904">
        <w:rPr>
          <w:rFonts w:ascii="Times New Roman" w:hAnsi="Times New Roman"/>
          <w:sz w:val="16"/>
          <w:szCs w:val="16"/>
          <w:lang w:val="uk-UA"/>
        </w:rPr>
        <w:t>202</w:t>
      </w:r>
      <w:r w:rsidR="00C01904" w:rsidRPr="00C01904">
        <w:rPr>
          <w:rFonts w:ascii="Times New Roman" w:hAnsi="Times New Roman"/>
          <w:sz w:val="16"/>
          <w:szCs w:val="16"/>
          <w:lang w:val="uk-UA"/>
        </w:rPr>
        <w:t>6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5F0851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val="uk-UA" w:eastAsia="ru-RU"/>
        </w:rPr>
      </w:pPr>
    </w:p>
    <w:p w14:paraId="62D94F97" w14:textId="77777777" w:rsidR="00C4486E" w:rsidRDefault="00C4486E" w:rsidP="00C4486E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45CF4C3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</w:r>
    </w:p>
    <w:p w14:paraId="3CAAC2B3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7DFC312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color w:val="FF0000"/>
          <w:sz w:val="20"/>
          <w:szCs w:val="20"/>
          <w:lang w:val="uk-UA" w:eastAsia="uk-UA"/>
        </w:rPr>
      </w:pP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6"/>
        <w:gridCol w:w="6241"/>
      </w:tblGrid>
      <w:tr w:rsidR="00C4486E" w:rsidRPr="00914C9F" w14:paraId="571BC053" w14:textId="77777777" w:rsidTr="00C4486E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F5B29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D1A246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Назва Програми</w:t>
            </w:r>
          </w:p>
          <w:p w14:paraId="7F4B399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0763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      </w:r>
          </w:p>
          <w:p w14:paraId="374116FD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5405C88" w14:textId="77777777" w:rsidTr="00C4486E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AE16E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B090B3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1080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0301C071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8EFE5FF" w14:textId="77777777" w:rsidTr="00C4486E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2AB11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D793B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9E82E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85D28B8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9E8963E" w14:textId="77777777" w:rsidTr="00C4486E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574898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88CAB5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5347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4486E" w:rsidRPr="00914C9F" w14:paraId="42EC333E" w14:textId="77777777" w:rsidTr="00C4486E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D8C55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7FF37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9BA6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області, Управління фінансів, Управління капітального будівництва Фонтанської сільської  ради Одеського району Одеської області</w:t>
            </w:r>
          </w:p>
          <w:p w14:paraId="3AAE11C3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311B883" w14:textId="77777777" w:rsidTr="00AC1F57">
        <w:trPr>
          <w:trHeight w:hRule="exact" w:val="1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769D59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F58A4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686A" w14:textId="72A8697C" w:rsidR="00C4486E" w:rsidRPr="00FC07A1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фінансів Фонтанської сільської  ради Одеського району Одеської області, Управління капітального будівництва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="009C3CAC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КП «Муніципальна варта» ,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 А1032, вч А4674,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вчА4855,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вчА5184,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 А3880,вч А4423,вч А7022,вч А5074, вч А3083, вч А0666, вч А4848, вч А4047, вч А4047, вч А4962,</w:t>
            </w:r>
            <w:r w:rsidR="009A638A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вч А0515, вч А0987, вч А1420, вч А1485, вч А2196, вч А496</w:t>
            </w:r>
            <w:r w:rsidR="00BF46AF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2,</w:t>
            </w:r>
            <w:r w:rsidR="00914C9F">
              <w:rPr>
                <w:rFonts w:ascii="Times New Roman" w:hAnsi="Times New Roman"/>
                <w:sz w:val="18"/>
                <w:szCs w:val="18"/>
                <w:lang w:val="uk-UA"/>
              </w:rPr>
              <w:t>,вч А0666,</w:t>
            </w:r>
            <w:r w:rsidR="00BF46AF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військова академія (м. Одеса)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AC1F57" w:rsidRPr="00FC07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національний університет оборони України,</w:t>
            </w:r>
            <w:r w:rsidR="00AC1F57" w:rsidRPr="00FC07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ч А7051</w:t>
            </w:r>
            <w:r w:rsidR="00FC07A1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FC07A1" w:rsidRPr="00FC07A1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Управління Служби безпеки України в Одеській області</w:t>
            </w:r>
          </w:p>
          <w:p w14:paraId="214A865F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4486E" w14:paraId="6C0BBCA1" w14:textId="77777777" w:rsidTr="00C4486E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E056CE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ECED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E153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07A1">
              <w:rPr>
                <w:rFonts w:ascii="Times New Roman" w:hAnsi="Times New Roman"/>
                <w:sz w:val="18"/>
                <w:szCs w:val="18"/>
                <w:lang w:val="uk-UA"/>
              </w:rPr>
              <w:t>2026-2030 роки</w:t>
            </w:r>
          </w:p>
          <w:p w14:paraId="18D0E5E0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210F891C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4486E" w:rsidRPr="00914C9F" w14:paraId="7EC632A2" w14:textId="77777777" w:rsidTr="00C4486E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54F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75D1F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Мета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3140" w14:textId="77777777" w:rsidR="00C4486E" w:rsidRDefault="00C4486E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529A2690" w14:textId="77777777" w:rsidR="00C4486E" w:rsidRDefault="00C4486E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8AA1C38" w14:textId="77777777" w:rsidTr="00C4486E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16644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D0A7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Загальний обсяг фінансових ресурсів, необхідних для</w:t>
            </w:r>
            <w:r>
              <w:rPr>
                <w:rStyle w:val="211pt0"/>
                <w:sz w:val="20"/>
                <w:szCs w:val="20"/>
              </w:rPr>
              <w:br/>
              <w:t>реалізації Програми, всього:</w:t>
            </w:r>
            <w:r>
              <w:rPr>
                <w:rStyle w:val="211pt0"/>
                <w:sz w:val="20"/>
                <w:szCs w:val="20"/>
              </w:rPr>
              <w:br/>
              <w:t>в тому числі:</w:t>
            </w:r>
          </w:p>
          <w:p w14:paraId="7456F67A" w14:textId="77777777" w:rsidR="00C4486E" w:rsidRDefault="00C4486E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коштів сільського бюджету</w:t>
            </w:r>
          </w:p>
          <w:p w14:paraId="473AAD91" w14:textId="77777777" w:rsidR="00C4486E" w:rsidRDefault="00C4486E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6845" w14:textId="5543ACDB" w:rsidR="00C4486E" w:rsidRDefault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21 839 141</w:t>
            </w:r>
            <w:r w:rsidR="00C448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69A9FBAD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929092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65190F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5BB7628" w14:textId="77777777" w:rsidR="008F6FF6" w:rsidRDefault="008F6FF6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21 839 141 грн.</w:t>
            </w:r>
          </w:p>
          <w:p w14:paraId="53B08691" w14:textId="77777777" w:rsidR="008F6FF6" w:rsidRDefault="008F6FF6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D7CFCD6" w14:textId="3DB9FFD3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EFC4F3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77068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1417EC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914C9F" w14:paraId="389B9280" w14:textId="77777777" w:rsidTr="00C4486E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97A1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CC367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2F78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0886DB66" w14:textId="77777777" w:rsidR="00C4486E" w:rsidRDefault="00C4486E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914C9F" w14:paraId="49E32E1F" w14:textId="77777777" w:rsidTr="00C4486E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0060D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4FA7C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A581E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79EC5143" w:rsidR="00D52586" w:rsidRDefault="00D52586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A765835" w14:textId="77777777" w:rsidR="00FE5952" w:rsidRDefault="00FE5952" w:rsidP="00FE5952">
      <w:pPr>
        <w:rPr>
          <w:bCs/>
          <w:sz w:val="28"/>
          <w:szCs w:val="28"/>
          <w:highlight w:val="yellow"/>
        </w:rPr>
      </w:pPr>
      <w:r w:rsidRPr="002A56F4">
        <w:rPr>
          <w:rFonts w:ascii="Times New Roman" w:hAnsi="Times New Roman"/>
          <w:b/>
          <w:sz w:val="26"/>
          <w:szCs w:val="26"/>
        </w:rPr>
        <w:t>В.о. сільського голови</w:t>
      </w:r>
      <w:r w:rsidRPr="002A56F4">
        <w:rPr>
          <w:rFonts w:ascii="Times New Roman" w:hAnsi="Times New Roman"/>
          <w:b/>
          <w:sz w:val="26"/>
          <w:szCs w:val="26"/>
        </w:rPr>
        <w:tab/>
      </w:r>
      <w:r w:rsidRPr="002A56F4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Pr="002A56F4">
        <w:rPr>
          <w:rFonts w:ascii="Times New Roman" w:hAnsi="Times New Roman"/>
          <w:b/>
          <w:sz w:val="26"/>
          <w:szCs w:val="26"/>
        </w:rPr>
        <w:tab/>
      </w:r>
      <w:r w:rsidRPr="002A56F4">
        <w:rPr>
          <w:rFonts w:ascii="Times New Roman" w:hAnsi="Times New Roman"/>
          <w:b/>
          <w:sz w:val="26"/>
          <w:szCs w:val="26"/>
        </w:rPr>
        <w:tab/>
        <w:t>Андрій СЕРЕБРІЙ</w:t>
      </w:r>
    </w:p>
    <w:p w14:paraId="3CB2D3C3" w14:textId="3372A167" w:rsidR="00DA15F5" w:rsidRDefault="00DA15F5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FA6C3C9" w14:textId="4BB1C7EA" w:rsidR="00DA15F5" w:rsidRDefault="00DA15F5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7E4F4A4C" w14:textId="42E25433" w:rsidR="00DA15F5" w:rsidRDefault="00DA15F5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sectPr w:rsidR="00DA15F5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7F64C" w14:textId="77777777" w:rsidR="00C14661" w:rsidRDefault="00C14661" w:rsidP="00141DE9">
      <w:pPr>
        <w:spacing w:after="0" w:line="240" w:lineRule="auto"/>
      </w:pPr>
      <w:r>
        <w:separator/>
      </w:r>
    </w:p>
  </w:endnote>
  <w:endnote w:type="continuationSeparator" w:id="0">
    <w:p w14:paraId="662A49B6" w14:textId="77777777" w:rsidR="00C14661" w:rsidRDefault="00C14661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1EB9E" w14:textId="77777777" w:rsidR="00C14661" w:rsidRDefault="00C14661" w:rsidP="00141DE9">
      <w:pPr>
        <w:spacing w:after="0" w:line="240" w:lineRule="auto"/>
      </w:pPr>
      <w:r>
        <w:separator/>
      </w:r>
    </w:p>
  </w:footnote>
  <w:footnote w:type="continuationSeparator" w:id="0">
    <w:p w14:paraId="15DFA2FC" w14:textId="77777777" w:rsidR="00C14661" w:rsidRDefault="00C14661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270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C95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3F7A"/>
    <w:rsid w:val="0007574A"/>
    <w:rsid w:val="0007671C"/>
    <w:rsid w:val="00084849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489E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64545"/>
    <w:rsid w:val="001704CC"/>
    <w:rsid w:val="00171256"/>
    <w:rsid w:val="00174BE7"/>
    <w:rsid w:val="0018260E"/>
    <w:rsid w:val="00182932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E1FB6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6EAE"/>
    <w:rsid w:val="00247595"/>
    <w:rsid w:val="00251124"/>
    <w:rsid w:val="002560CF"/>
    <w:rsid w:val="002636ED"/>
    <w:rsid w:val="00264395"/>
    <w:rsid w:val="00264D12"/>
    <w:rsid w:val="00270324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0BD3"/>
    <w:rsid w:val="00305EDA"/>
    <w:rsid w:val="00311F86"/>
    <w:rsid w:val="00315515"/>
    <w:rsid w:val="00320DF8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3611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2C69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0A98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721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27D94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419A"/>
    <w:rsid w:val="005D6706"/>
    <w:rsid w:val="005E07FC"/>
    <w:rsid w:val="005E1178"/>
    <w:rsid w:val="005E2162"/>
    <w:rsid w:val="005E4917"/>
    <w:rsid w:val="005E6AED"/>
    <w:rsid w:val="005F0851"/>
    <w:rsid w:val="005F0D6C"/>
    <w:rsid w:val="005F1128"/>
    <w:rsid w:val="005F5F4A"/>
    <w:rsid w:val="005F65E3"/>
    <w:rsid w:val="006015AB"/>
    <w:rsid w:val="00607144"/>
    <w:rsid w:val="00607D04"/>
    <w:rsid w:val="00610A39"/>
    <w:rsid w:val="006148DF"/>
    <w:rsid w:val="00614E81"/>
    <w:rsid w:val="00615291"/>
    <w:rsid w:val="00616885"/>
    <w:rsid w:val="00620A0F"/>
    <w:rsid w:val="00621501"/>
    <w:rsid w:val="0062590A"/>
    <w:rsid w:val="00630623"/>
    <w:rsid w:val="00630650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0DBB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6FF6"/>
    <w:rsid w:val="008F709C"/>
    <w:rsid w:val="008F7881"/>
    <w:rsid w:val="00900C68"/>
    <w:rsid w:val="009029A8"/>
    <w:rsid w:val="009110F6"/>
    <w:rsid w:val="0091205F"/>
    <w:rsid w:val="00912AA2"/>
    <w:rsid w:val="009138ED"/>
    <w:rsid w:val="00914C9F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A638A"/>
    <w:rsid w:val="009B21C0"/>
    <w:rsid w:val="009C1082"/>
    <w:rsid w:val="009C3CAC"/>
    <w:rsid w:val="009C4735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375FD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221F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1F57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09F3"/>
    <w:rsid w:val="00B323F8"/>
    <w:rsid w:val="00B3336E"/>
    <w:rsid w:val="00B424BC"/>
    <w:rsid w:val="00B50EA8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B18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6AF"/>
    <w:rsid w:val="00BF4853"/>
    <w:rsid w:val="00BF779B"/>
    <w:rsid w:val="00C01904"/>
    <w:rsid w:val="00C03067"/>
    <w:rsid w:val="00C06033"/>
    <w:rsid w:val="00C06D18"/>
    <w:rsid w:val="00C14661"/>
    <w:rsid w:val="00C2260C"/>
    <w:rsid w:val="00C23F1A"/>
    <w:rsid w:val="00C24722"/>
    <w:rsid w:val="00C25342"/>
    <w:rsid w:val="00C2692D"/>
    <w:rsid w:val="00C33B24"/>
    <w:rsid w:val="00C36E9F"/>
    <w:rsid w:val="00C37C37"/>
    <w:rsid w:val="00C4486E"/>
    <w:rsid w:val="00C452C5"/>
    <w:rsid w:val="00C45F55"/>
    <w:rsid w:val="00C46035"/>
    <w:rsid w:val="00C47D9E"/>
    <w:rsid w:val="00C50412"/>
    <w:rsid w:val="00C504CE"/>
    <w:rsid w:val="00C506C7"/>
    <w:rsid w:val="00C51A5F"/>
    <w:rsid w:val="00C57494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85BBB"/>
    <w:rsid w:val="00D9060C"/>
    <w:rsid w:val="00D9213B"/>
    <w:rsid w:val="00D92407"/>
    <w:rsid w:val="00D93031"/>
    <w:rsid w:val="00D93828"/>
    <w:rsid w:val="00D9787F"/>
    <w:rsid w:val="00DA15F5"/>
    <w:rsid w:val="00DA267B"/>
    <w:rsid w:val="00DA52DD"/>
    <w:rsid w:val="00DB2A21"/>
    <w:rsid w:val="00DB78DA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4267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07A1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E5952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aliases w:val="Полужирный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1BD9-938E-46F7-B248-5CC6D3FE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3892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fin</cp:lastModifiedBy>
  <cp:revision>11</cp:revision>
  <cp:lastPrinted>2026-05-08T05:25:00Z</cp:lastPrinted>
  <dcterms:created xsi:type="dcterms:W3CDTF">2026-05-05T05:47:00Z</dcterms:created>
  <dcterms:modified xsi:type="dcterms:W3CDTF">2026-05-08T05:25:00Z</dcterms:modified>
</cp:coreProperties>
</file>