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57C1" w14:textId="1F192F9A" w:rsidR="0004507A" w:rsidRPr="00E34932" w:rsidRDefault="0004507A" w:rsidP="0004507A">
      <w:pPr>
        <w:spacing w:line="240" w:lineRule="auto"/>
        <w:ind w:left="720"/>
        <w:contextualSpacing/>
        <w:jc w:val="center"/>
        <w:rPr>
          <w:rFonts w:eastAsia="Calibri"/>
          <w:szCs w:val="24"/>
        </w:rPr>
      </w:pPr>
      <w:r w:rsidRPr="002932C6">
        <w:rPr>
          <w:rFonts w:eastAsia="Calibri"/>
          <w:noProof/>
          <w:szCs w:val="2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CF56A63" wp14:editId="744418E1">
            <wp:simplePos x="0" y="0"/>
            <wp:positionH relativeFrom="column">
              <wp:posOffset>2653665</wp:posOffset>
            </wp:positionH>
            <wp:positionV relativeFrom="paragraph">
              <wp:posOffset>-6350</wp:posOffset>
            </wp:positionV>
            <wp:extent cx="476250" cy="600075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4F">
        <w:rPr>
          <w:rFonts w:eastAsia="Calibri"/>
          <w:szCs w:val="24"/>
        </w:rPr>
        <w:t xml:space="preserve"> </w:t>
      </w:r>
    </w:p>
    <w:p w14:paraId="65066705" w14:textId="77777777" w:rsidR="0004507A" w:rsidRPr="0004507A" w:rsidRDefault="0004507A" w:rsidP="0004507A">
      <w:pPr>
        <w:spacing w:line="240" w:lineRule="auto"/>
        <w:jc w:val="both"/>
        <w:rPr>
          <w:rFonts w:ascii="Times New Roman" w:eastAsia="Calibri" w:hAnsi="Times New Roman"/>
          <w:szCs w:val="26"/>
          <w:u w:val="single"/>
        </w:rPr>
      </w:pPr>
    </w:p>
    <w:p w14:paraId="0FC5027D" w14:textId="77777777" w:rsidR="00C610FA" w:rsidRDefault="00C610F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BE5198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14:paraId="2F4D20CB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>ФОНТАНСЬКА СІЛЬСЬКА РАДА</w:t>
      </w:r>
    </w:p>
    <w:p w14:paraId="3CEFC6CA" w14:textId="77777777" w:rsidR="0004507A" w:rsidRPr="0004507A" w:rsidRDefault="0004507A" w:rsidP="0004507A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07A">
        <w:rPr>
          <w:rFonts w:ascii="Times New Roman" w:hAnsi="Times New Roman"/>
          <w:b/>
          <w:color w:val="000000"/>
          <w:sz w:val="28"/>
          <w:szCs w:val="28"/>
        </w:rPr>
        <w:t xml:space="preserve">ОДЕСЬКОГО РАЙОНУ ОДЕСЬКОЇ ОБЛАСТІ </w:t>
      </w:r>
    </w:p>
    <w:p w14:paraId="55AA1251" w14:textId="77777777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</w:p>
    <w:p w14:paraId="788D8C95" w14:textId="6A57F1E1" w:rsidR="0004507A" w:rsidRPr="0004507A" w:rsidRDefault="0004507A" w:rsidP="0004507A">
      <w:pPr>
        <w:jc w:val="center"/>
        <w:rPr>
          <w:rFonts w:ascii="Times New Roman" w:eastAsia="Calibri" w:hAnsi="Times New Roman"/>
          <w:b/>
          <w:sz w:val="28"/>
        </w:rPr>
      </w:pP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З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П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О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Р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Д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Ж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Е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Н</w:t>
      </w:r>
      <w:r w:rsidR="00C8054F"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 w:rsidRPr="0004507A">
        <w:rPr>
          <w:rFonts w:ascii="Times New Roman" w:eastAsia="Calibri" w:hAnsi="Times New Roman"/>
          <w:b/>
          <w:sz w:val="28"/>
        </w:rPr>
        <w:t>Н</w:t>
      </w:r>
      <w:proofErr w:type="spellEnd"/>
      <w:r w:rsidR="00C8054F">
        <w:rPr>
          <w:rFonts w:ascii="Times New Roman" w:eastAsia="Calibri" w:hAnsi="Times New Roman"/>
          <w:b/>
          <w:sz w:val="28"/>
        </w:rPr>
        <w:t xml:space="preserve"> </w:t>
      </w:r>
      <w:r w:rsidRPr="0004507A">
        <w:rPr>
          <w:rFonts w:ascii="Times New Roman" w:eastAsia="Calibri" w:hAnsi="Times New Roman"/>
          <w:b/>
          <w:sz w:val="28"/>
        </w:rPr>
        <w:t>Я</w:t>
      </w:r>
    </w:p>
    <w:p w14:paraId="69572431" w14:textId="314F7468" w:rsidR="0004507A" w:rsidRPr="0004507A" w:rsidRDefault="00660AD5" w:rsidP="00F26C98">
      <w:pPr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31</w:t>
      </w:r>
      <w:r w:rsidR="00CF7150" w:rsidRPr="00C8054F">
        <w:rPr>
          <w:rFonts w:ascii="Times New Roman" w:eastAsia="Calibri" w:hAnsi="Times New Roman"/>
          <w:sz w:val="28"/>
        </w:rPr>
        <w:t>.</w:t>
      </w:r>
      <w:r w:rsidR="0044740D">
        <w:rPr>
          <w:rFonts w:ascii="Times New Roman" w:eastAsia="Calibri" w:hAnsi="Times New Roman"/>
          <w:sz w:val="28"/>
        </w:rPr>
        <w:t>01</w:t>
      </w:r>
      <w:r w:rsidR="00CF7150" w:rsidRPr="00C8054F">
        <w:rPr>
          <w:rFonts w:ascii="Times New Roman" w:eastAsia="Calibri" w:hAnsi="Times New Roman"/>
          <w:sz w:val="28"/>
        </w:rPr>
        <w:t>.</w:t>
      </w:r>
      <w:r w:rsidR="0004507A" w:rsidRPr="00C8054F">
        <w:rPr>
          <w:rFonts w:ascii="Times New Roman" w:eastAsia="Calibri" w:hAnsi="Times New Roman"/>
          <w:sz w:val="28"/>
        </w:rPr>
        <w:t>202</w:t>
      </w:r>
      <w:r w:rsidR="0044740D">
        <w:rPr>
          <w:rFonts w:ascii="Times New Roman" w:eastAsia="Calibri" w:hAnsi="Times New Roman"/>
          <w:sz w:val="28"/>
        </w:rPr>
        <w:t>4</w:t>
      </w:r>
      <w:r w:rsidR="005E4FBC" w:rsidRPr="00C8054F">
        <w:rPr>
          <w:rFonts w:ascii="Times New Roman" w:eastAsia="Calibri" w:hAnsi="Times New Roman"/>
          <w:sz w:val="28"/>
        </w:rPr>
        <w:t xml:space="preserve"> </w:t>
      </w:r>
      <w:r w:rsidR="0004507A" w:rsidRPr="00C8054F">
        <w:rPr>
          <w:rFonts w:ascii="Times New Roman" w:eastAsia="Calibri" w:hAnsi="Times New Roman"/>
          <w:sz w:val="28"/>
        </w:rPr>
        <w:t>року</w:t>
      </w:r>
      <w:r w:rsidR="0004507A" w:rsidRPr="0004507A">
        <w:rPr>
          <w:rFonts w:ascii="Times New Roman" w:eastAsia="Calibri" w:hAnsi="Times New Roman"/>
          <w:sz w:val="28"/>
        </w:rPr>
        <w:t xml:space="preserve"> </w:t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5E4FBC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04507A" w:rsidRPr="0004507A">
        <w:rPr>
          <w:rFonts w:ascii="Times New Roman" w:eastAsia="Calibri" w:hAnsi="Times New Roman"/>
          <w:sz w:val="28"/>
        </w:rPr>
        <w:tab/>
      </w:r>
      <w:r w:rsidR="00C610FA">
        <w:rPr>
          <w:rFonts w:ascii="Times New Roman" w:eastAsia="Calibri" w:hAnsi="Times New Roman"/>
          <w:sz w:val="28"/>
        </w:rPr>
        <w:t xml:space="preserve">      </w:t>
      </w:r>
      <w:r w:rsidR="0004507A" w:rsidRPr="00C8054F">
        <w:rPr>
          <w:rFonts w:ascii="Times New Roman" w:eastAsia="Calibri" w:hAnsi="Times New Roman"/>
          <w:sz w:val="28"/>
        </w:rPr>
        <w:t>№</w:t>
      </w:r>
      <w:r w:rsidR="00F26C98" w:rsidRPr="00C8054F">
        <w:rPr>
          <w:rFonts w:ascii="Times New Roman" w:eastAsia="Calibri" w:hAnsi="Times New Roman"/>
          <w:sz w:val="28"/>
        </w:rPr>
        <w:t xml:space="preserve"> </w:t>
      </w:r>
      <w:r w:rsidR="0053505F">
        <w:rPr>
          <w:rFonts w:ascii="Times New Roman" w:eastAsia="Calibri" w:hAnsi="Times New Roman"/>
          <w:sz w:val="28"/>
        </w:rPr>
        <w:t xml:space="preserve"> </w:t>
      </w:r>
      <w:r w:rsidR="00A04A36">
        <w:rPr>
          <w:rFonts w:ascii="Times New Roman" w:eastAsia="Calibri" w:hAnsi="Times New Roman"/>
          <w:sz w:val="28"/>
        </w:rPr>
        <w:t>21</w:t>
      </w:r>
      <w:bookmarkStart w:id="0" w:name="_GoBack"/>
      <w:bookmarkEnd w:id="0"/>
      <w:r w:rsidR="00C8054F" w:rsidRPr="00C8054F">
        <w:rPr>
          <w:rFonts w:ascii="Times New Roman" w:eastAsia="Calibri" w:hAnsi="Times New Roman"/>
          <w:sz w:val="28"/>
        </w:rPr>
        <w:t>-ОД</w:t>
      </w:r>
    </w:p>
    <w:p w14:paraId="04765DC3" w14:textId="6A46CA3C" w:rsidR="00CF7150" w:rsidRPr="00C8054F" w:rsidRDefault="00585FB2" w:rsidP="00C8054F">
      <w:pPr>
        <w:spacing w:after="0" w:line="240" w:lineRule="auto"/>
        <w:ind w:right="46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</w:t>
      </w:r>
      <w:r w:rsidR="00CF7150" w:rsidRPr="00C8054F">
        <w:rPr>
          <w:rFonts w:ascii="Times New Roman" w:hAnsi="Times New Roman"/>
          <w:b/>
          <w:sz w:val="28"/>
          <w:szCs w:val="28"/>
        </w:rPr>
        <w:t xml:space="preserve"> паспортів бюджетних програм місцевого бюджету на 202</w:t>
      </w:r>
      <w:r w:rsidR="00134734">
        <w:rPr>
          <w:rFonts w:ascii="Times New Roman" w:hAnsi="Times New Roman"/>
          <w:b/>
          <w:sz w:val="28"/>
          <w:szCs w:val="28"/>
        </w:rPr>
        <w:t>4</w:t>
      </w:r>
      <w:r w:rsidR="00CF7150" w:rsidRPr="00C8054F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2CAE3E4E" w14:textId="77777777" w:rsidR="005E4FBC" w:rsidRDefault="005E4FBC" w:rsidP="004D74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398FD85" w14:textId="131EE208" w:rsidR="005E4FBC" w:rsidRDefault="005E4FBC" w:rsidP="00316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BD1">
        <w:rPr>
          <w:rFonts w:ascii="Times New Roman" w:hAnsi="Times New Roman"/>
          <w:sz w:val="28"/>
          <w:szCs w:val="28"/>
          <w:lang w:eastAsia="ru-RU"/>
        </w:rPr>
        <w:t>На виконання ст.20 Бюджетного Кодексу України, відповідно до підпункту 6 пункту 5 статті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 22 Бюджетного кодексу України,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 наказів Мін</w:t>
      </w:r>
      <w:r w:rsidR="004D7482">
        <w:rPr>
          <w:rFonts w:ascii="Times New Roman" w:hAnsi="Times New Roman"/>
          <w:sz w:val="28"/>
          <w:szCs w:val="28"/>
          <w:lang w:eastAsia="ru-RU"/>
        </w:rPr>
        <w:t xml:space="preserve">істерства фінансів України від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29 грудня 2002 року №1098 «Про паспорти бюджетних програм», від 26 серпня 2014 року №836 «Про деякі питання запровадження програмно-цільового методу складання та виконання місцевих бюджетів», </w:t>
      </w:r>
      <w:r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CA2230">
        <w:rPr>
          <w:rFonts w:ascii="Times New Roman" w:hAnsi="Times New Roman"/>
          <w:sz w:val="28"/>
          <w:szCs w:val="28"/>
          <w:lang w:eastAsia="ru-RU"/>
        </w:rPr>
        <w:t>сесії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="006C24E0">
        <w:rPr>
          <w:rFonts w:ascii="Times New Roman" w:hAnsi="Times New Roman"/>
          <w:sz w:val="28"/>
          <w:szCs w:val="28"/>
          <w:lang w:eastAsia="ru-RU"/>
        </w:rPr>
        <w:t xml:space="preserve">Одеського району Одеської області </w:t>
      </w:r>
      <w:r w:rsidR="009A4FF0" w:rsidRPr="009A4FF0">
        <w:rPr>
          <w:rFonts w:ascii="Times New Roman" w:hAnsi="Times New Roman"/>
          <w:sz w:val="28"/>
          <w:szCs w:val="28"/>
        </w:rPr>
        <w:t>від 2</w:t>
      </w:r>
      <w:r w:rsidR="00037F7D">
        <w:rPr>
          <w:rFonts w:ascii="Times New Roman" w:hAnsi="Times New Roman"/>
          <w:sz w:val="28"/>
          <w:szCs w:val="28"/>
        </w:rPr>
        <w:t>2.12.2023</w:t>
      </w:r>
      <w:r w:rsidR="00316DF3">
        <w:rPr>
          <w:rFonts w:ascii="Times New Roman" w:hAnsi="Times New Roman"/>
          <w:sz w:val="28"/>
          <w:szCs w:val="28"/>
        </w:rPr>
        <w:t xml:space="preserve"> року </w:t>
      </w:r>
      <w:r w:rsidR="00037F7D">
        <w:rPr>
          <w:rFonts w:ascii="Times New Roman" w:hAnsi="Times New Roman"/>
          <w:sz w:val="28"/>
          <w:szCs w:val="28"/>
        </w:rPr>
        <w:t>№1980</w:t>
      </w:r>
      <w:r w:rsidR="00143AF3" w:rsidRPr="009A4FF0">
        <w:rPr>
          <w:rFonts w:ascii="Times New Roman" w:hAnsi="Times New Roman"/>
          <w:sz w:val="28"/>
          <w:szCs w:val="28"/>
        </w:rPr>
        <w:t xml:space="preserve">-VІІІ </w:t>
      </w:r>
      <w:r w:rsidR="009A4FF0" w:rsidRPr="009A4FF0">
        <w:rPr>
          <w:rFonts w:ascii="Times New Roman" w:hAnsi="Times New Roman"/>
          <w:sz w:val="28"/>
          <w:szCs w:val="28"/>
        </w:rPr>
        <w:t xml:space="preserve">"Про бюджет </w:t>
      </w:r>
      <w:proofErr w:type="spellStart"/>
      <w:r w:rsidR="009A4FF0" w:rsidRPr="009A4FF0">
        <w:rPr>
          <w:rFonts w:ascii="Times New Roman" w:hAnsi="Times New Roman"/>
          <w:sz w:val="28"/>
          <w:szCs w:val="28"/>
        </w:rPr>
        <w:t>Фонтанської</w:t>
      </w:r>
      <w:proofErr w:type="spellEnd"/>
      <w:r w:rsidR="009A4FF0" w:rsidRPr="009A4FF0">
        <w:rPr>
          <w:rFonts w:ascii="Times New Roman" w:hAnsi="Times New Roman"/>
          <w:sz w:val="28"/>
          <w:szCs w:val="28"/>
        </w:rPr>
        <w:t xml:space="preserve"> сільсько</w:t>
      </w:r>
      <w:r w:rsidR="00037F7D">
        <w:rPr>
          <w:rFonts w:ascii="Times New Roman" w:hAnsi="Times New Roman"/>
          <w:sz w:val="28"/>
          <w:szCs w:val="28"/>
        </w:rPr>
        <w:t>ї територіальної громади на 2024</w:t>
      </w:r>
      <w:r w:rsidR="009A4FF0" w:rsidRPr="009A4FF0">
        <w:rPr>
          <w:rFonts w:ascii="Times New Roman" w:hAnsi="Times New Roman"/>
          <w:sz w:val="28"/>
          <w:szCs w:val="28"/>
        </w:rPr>
        <w:t xml:space="preserve"> рік</w:t>
      </w:r>
      <w:r w:rsidR="00691407">
        <w:rPr>
          <w:rFonts w:ascii="Times New Roman" w:hAnsi="Times New Roman"/>
          <w:sz w:val="28"/>
          <w:szCs w:val="28"/>
        </w:rPr>
        <w:t>"</w:t>
      </w:r>
      <w:r w:rsidRPr="00997BD1">
        <w:rPr>
          <w:rFonts w:ascii="Times New Roman" w:hAnsi="Times New Roman"/>
          <w:sz w:val="28"/>
          <w:szCs w:val="28"/>
          <w:lang w:eastAsia="ru-RU"/>
        </w:rPr>
        <w:t>,</w:t>
      </w:r>
      <w:r w:rsidR="00CA2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7BD1">
        <w:rPr>
          <w:rFonts w:ascii="Times New Roman" w:hAnsi="Times New Roman"/>
          <w:sz w:val="28"/>
          <w:szCs w:val="28"/>
          <w:lang w:eastAsia="ru-RU"/>
        </w:rPr>
        <w:t xml:space="preserve">керуючись ст. 42 </w:t>
      </w:r>
      <w:r w:rsidRPr="00997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Закону України «Про мі</w:t>
      </w:r>
      <w:r w:rsidR="004D748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сцеве самоврядування в Україні»,</w:t>
      </w:r>
    </w:p>
    <w:p w14:paraId="0F42A03A" w14:textId="77777777" w:rsidR="005E4FBC" w:rsidRPr="00C610FA" w:rsidRDefault="005E4FBC" w:rsidP="004D748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4566676C" w14:textId="04741AD7" w:rsidR="00471E93" w:rsidRPr="00B22785" w:rsidRDefault="00B168DA" w:rsidP="00B227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93">
        <w:rPr>
          <w:rFonts w:ascii="Times New Roman" w:hAnsi="Times New Roman"/>
          <w:sz w:val="28"/>
          <w:szCs w:val="28"/>
        </w:rPr>
        <w:t>Затвердити паспорти</w:t>
      </w:r>
      <w:r w:rsidR="004B73A0" w:rsidRPr="00471E93">
        <w:rPr>
          <w:rFonts w:ascii="Times New Roman" w:hAnsi="Times New Roman"/>
          <w:sz w:val="28"/>
          <w:szCs w:val="28"/>
        </w:rPr>
        <w:t xml:space="preserve"> бюджетн</w:t>
      </w:r>
      <w:r w:rsidRPr="00471E93">
        <w:rPr>
          <w:rFonts w:ascii="Times New Roman" w:hAnsi="Times New Roman"/>
          <w:sz w:val="28"/>
          <w:szCs w:val="28"/>
        </w:rPr>
        <w:t>их</w:t>
      </w:r>
      <w:r w:rsidR="004B73A0" w:rsidRPr="00471E93">
        <w:rPr>
          <w:rFonts w:ascii="Times New Roman" w:hAnsi="Times New Roman"/>
          <w:sz w:val="28"/>
          <w:szCs w:val="28"/>
        </w:rPr>
        <w:t xml:space="preserve"> програм місцевого бюджету на 202</w:t>
      </w:r>
      <w:r w:rsidR="0009793A">
        <w:rPr>
          <w:rFonts w:ascii="Times New Roman" w:hAnsi="Times New Roman"/>
          <w:sz w:val="28"/>
          <w:szCs w:val="28"/>
        </w:rPr>
        <w:t>4</w:t>
      </w:r>
      <w:r w:rsidR="004B73A0" w:rsidRPr="00471E93">
        <w:rPr>
          <w:rFonts w:ascii="Times New Roman" w:hAnsi="Times New Roman"/>
          <w:sz w:val="28"/>
          <w:szCs w:val="28"/>
        </w:rPr>
        <w:t xml:space="preserve"> рік за </w:t>
      </w:r>
      <w:r w:rsidR="00316DF3">
        <w:rPr>
          <w:rFonts w:ascii="Times New Roman" w:hAnsi="Times New Roman"/>
          <w:sz w:val="28"/>
          <w:szCs w:val="28"/>
        </w:rPr>
        <w:t>кодами</w:t>
      </w:r>
      <w:r w:rsidR="00143AF3" w:rsidRPr="00471E93">
        <w:rPr>
          <w:rFonts w:ascii="Times New Roman" w:hAnsi="Times New Roman"/>
          <w:sz w:val="28"/>
          <w:szCs w:val="28"/>
        </w:rPr>
        <w:t xml:space="preserve"> програмної класифікації видатків та</w:t>
      </w:r>
      <w:r w:rsidRPr="00471E93">
        <w:rPr>
          <w:rFonts w:ascii="Times New Roman" w:hAnsi="Times New Roman"/>
          <w:sz w:val="28"/>
          <w:szCs w:val="28"/>
        </w:rPr>
        <w:t xml:space="preserve"> кредитування місцевих бюджетів</w:t>
      </w:r>
      <w:r w:rsidR="004B73A0" w:rsidRPr="00471E93">
        <w:rPr>
          <w:rFonts w:ascii="Times New Roman" w:hAnsi="Times New Roman"/>
          <w:sz w:val="28"/>
          <w:szCs w:val="28"/>
        </w:rPr>
        <w:t>:</w:t>
      </w:r>
    </w:p>
    <w:p w14:paraId="314F451E" w14:textId="231F51BC" w:rsidR="00310A42" w:rsidRDefault="00310A42" w:rsidP="00B2278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10A42">
        <w:rPr>
          <w:rFonts w:ascii="Times New Roman" w:hAnsi="Times New Roman"/>
          <w:sz w:val="28"/>
          <w:szCs w:val="28"/>
          <w:shd w:val="clear" w:color="auto" w:fill="FFFFFF"/>
        </w:rPr>
        <w:t>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14:paraId="7449B9F4" w14:textId="77777777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-0110180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2D9248E" w14:textId="77777777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-0112111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Первинна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медична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допомога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населенню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надається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центрами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первинної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медичної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(медико-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санітарної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B201DA0" w14:textId="77777777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-0113032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пільг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окремим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категоріям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оплати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зв'язку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70E6DE65" w14:textId="34EDC099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B227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0113160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гарантій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фізичним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особам,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громадянам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похилого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віку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особам з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дітям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хворим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здатні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самообслуговування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сторонньої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579D5CC6" w14:textId="0BCA17B4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B2278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0113230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Видатки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пов`язані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підтримки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внутрішньо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переміщеним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евакуйованим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особам 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зв`язку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введенням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стану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7ADA94E7" w14:textId="77777777" w:rsidR="00E75731" w:rsidRDefault="00E75731" w:rsidP="00E75731">
      <w:pPr>
        <w:tabs>
          <w:tab w:val="left" w:pos="567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-0113241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62FC0F0F" w14:textId="77777777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31CF3D99" w14:textId="77777777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21E6D21A" w14:textId="2F170324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-0113242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заходи 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540A0E14" w14:textId="77777777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-0116013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водопровідно-каналізаційного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3E3DB259" w14:textId="77777777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-0116020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функціонування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виробляють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виконують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надають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житлово-комунальні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7864C44C" w14:textId="688C049A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-0116030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Організація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благоустрою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населених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пунктів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BD6E67A" w14:textId="1542E1C0" w:rsidR="00E75731" w:rsidRDefault="00E75731" w:rsidP="00E757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-0116060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об'єктів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соціальної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сфери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підприємств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передаються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1C6DD4ED" w14:textId="0D9B4C68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-0116071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Відшкодування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різниці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розміром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ціни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(тарифу) на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теплову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енергію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у тому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числі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її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виробництво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транспортування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комунальні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затверджувалися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погоджувалися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рішенням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органу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виконавчої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влади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органу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розміром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економічно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обґрунтованих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витрат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їх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виробництво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19CEF4B2" w14:textId="1D12B7C3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-0117130 </w:t>
      </w:r>
      <w:proofErr w:type="spellStart"/>
      <w:proofErr w:type="gram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заходів</w:t>
      </w:r>
      <w:proofErr w:type="spellEnd"/>
      <w:proofErr w:type="gram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61F9C66F" w14:textId="1315113A" w:rsidR="00E75731" w:rsidRDefault="00E75731" w:rsidP="00E7573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-0117350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Розроблення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схем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планування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забудови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територій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містобудівної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документації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485E1D2F" w14:textId="639A8402" w:rsidR="00310A42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-0117442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інших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об’єктів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транспортної</w:t>
      </w:r>
      <w:proofErr w:type="spellEnd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39C736E4" w14:textId="4A4D0EB4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-0117461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Утримання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автомобільних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доріг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дорожньої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рахунок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бюджету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0939DD78" w14:textId="43247668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-0117650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експертної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грошової</w:t>
      </w:r>
      <w:proofErr w:type="spellEnd"/>
      <w:proofErr w:type="gram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оцінки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земельної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ділянки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права на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68DF5DBA" w14:textId="1992AE40" w:rsidR="00E75731" w:rsidRDefault="00E7573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-0118110 </w:t>
      </w:r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Заходи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ліквідації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надзвичайних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ситуацій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наслідків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стихійного</w:t>
      </w:r>
      <w:proofErr w:type="spellEnd"/>
      <w:r w:rsidRPr="00E757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лиха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34A1B18D" w14:textId="77777777" w:rsidR="000D5A41" w:rsidRDefault="00310A42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0118210 </w:t>
      </w:r>
      <w:proofErr w:type="spellStart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Муніципальні</w:t>
      </w:r>
      <w:proofErr w:type="spellEnd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="000D5A41"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порядку</w:t>
      </w:r>
      <w:r w:rsid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23FBD038" w14:textId="77777777" w:rsidR="000D5A41" w:rsidRDefault="000D5A41" w:rsidP="00C805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-0118230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заходи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порядку та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14:paraId="62F23577" w14:textId="7F9BF1D0" w:rsidR="00310A42" w:rsidRPr="00B22785" w:rsidRDefault="000D5A41" w:rsidP="00B227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-0118330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Інша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сфері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екології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природних</w:t>
      </w:r>
      <w:proofErr w:type="spellEnd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5A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ресурсів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10A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FE1170C" w14:textId="3B9034DF" w:rsidR="005E4FBC" w:rsidRPr="0086123D" w:rsidRDefault="00404616" w:rsidP="00C80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4FBC" w:rsidRPr="0086123D">
        <w:rPr>
          <w:rFonts w:ascii="Times New Roman" w:hAnsi="Times New Roman"/>
          <w:sz w:val="28"/>
          <w:szCs w:val="28"/>
        </w:rPr>
        <w:t>. К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 xml:space="preserve">онтроль за виконанням даного розпорядження покласти </w:t>
      </w:r>
      <w:r w:rsidR="00B168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начальника відділу бухгалтерського обліку та фінансової звітності – головн</w:t>
      </w:r>
      <w:r w:rsidR="00C610FA">
        <w:rPr>
          <w:rFonts w:ascii="Times New Roman" w:hAnsi="Times New Roman"/>
          <w:sz w:val="28"/>
          <w:szCs w:val="28"/>
          <w:shd w:val="clear" w:color="auto" w:fill="FFFFFF"/>
        </w:rPr>
        <w:t>ого бухгалтера Тетяну Михайлову</w:t>
      </w:r>
      <w:r w:rsidR="005E4FBC" w:rsidRPr="00861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93DCF25" w14:textId="77777777" w:rsidR="005E4FBC" w:rsidRPr="0086123D" w:rsidRDefault="005E4FBC" w:rsidP="004D7482">
      <w:pPr>
        <w:pStyle w:val="a4"/>
        <w:ind w:firstLine="851"/>
        <w:rPr>
          <w:rFonts w:ascii="Times New Roman" w:eastAsiaTheme="minorHAnsi" w:hAnsi="Times New Roman"/>
          <w:sz w:val="28"/>
          <w:szCs w:val="28"/>
        </w:rPr>
      </w:pPr>
    </w:p>
    <w:p w14:paraId="4502FA47" w14:textId="77777777" w:rsidR="006C24E0" w:rsidRPr="0086123D" w:rsidRDefault="006C24E0" w:rsidP="005E4FBC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14:paraId="42B6D5F4" w14:textId="7F008659" w:rsidR="005E4FBC" w:rsidRPr="0086123D" w:rsidRDefault="00575984" w:rsidP="00C8054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6123D">
        <w:rPr>
          <w:rFonts w:ascii="Times New Roman" w:eastAsiaTheme="minorHAnsi" w:hAnsi="Times New Roman"/>
          <w:sz w:val="28"/>
          <w:szCs w:val="28"/>
        </w:rPr>
        <w:t>Сільський голова</w:t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</w:r>
      <w:r w:rsidRPr="0086123D">
        <w:rPr>
          <w:rFonts w:ascii="Times New Roman" w:eastAsiaTheme="minorHAnsi" w:hAnsi="Times New Roman"/>
          <w:sz w:val="28"/>
          <w:szCs w:val="28"/>
        </w:rPr>
        <w:tab/>
        <w:t xml:space="preserve"> Наталія КРУПИЦЯ</w:t>
      </w:r>
    </w:p>
    <w:p w14:paraId="3FA8AD09" w14:textId="77777777" w:rsidR="006C24E0" w:rsidRDefault="006C24E0" w:rsidP="0014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FD828F1" w14:textId="2B42E06E" w:rsidR="00F40F95" w:rsidRDefault="003E73C2" w:rsidP="00C80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ВІЗИ:</w:t>
      </w:r>
    </w:p>
    <w:p w14:paraId="42A77B0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83881" w14:textId="5E160E25" w:rsidR="003E73C2" w:rsidRDefault="00C8054F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Володимир КРИВОШЕЄНКО</w:t>
      </w:r>
    </w:p>
    <w:p w14:paraId="580C68B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1AACCA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3BFEF" w14:textId="38384FDD" w:rsidR="003E73C2" w:rsidRDefault="006842DB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E73C2">
        <w:rPr>
          <w:rFonts w:ascii="Times New Roman" w:hAnsi="Times New Roman"/>
          <w:sz w:val="28"/>
          <w:szCs w:val="28"/>
        </w:rPr>
        <w:t xml:space="preserve"> відділу </w:t>
      </w:r>
    </w:p>
    <w:p w14:paraId="26C72C16" w14:textId="6FF3266D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загальної та організаційної роботи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4FBC">
        <w:rPr>
          <w:rFonts w:ascii="Times New Roman" w:hAnsi="Times New Roman"/>
          <w:sz w:val="28"/>
          <w:szCs w:val="28"/>
        </w:rPr>
        <w:tab/>
      </w:r>
      <w:r w:rsidR="00C8054F">
        <w:rPr>
          <w:rFonts w:ascii="Times New Roman" w:hAnsi="Times New Roman"/>
          <w:sz w:val="28"/>
          <w:szCs w:val="28"/>
        </w:rPr>
        <w:t xml:space="preserve">        Олександр ЩЕРБИЧ</w:t>
      </w:r>
    </w:p>
    <w:p w14:paraId="41F3100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998D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8EC2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7BC8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766E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43F3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9951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88B9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FCE3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7BE5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E1B0D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81F1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5A13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68A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5A0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A871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C576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A1645B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3C66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F6B5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576C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A23B5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89CCF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4AB0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2393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A78C8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85D29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AB2D4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B4D0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7C3F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699B3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34B4E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B76E8" w14:textId="77777777" w:rsidR="00C610FA" w:rsidRDefault="00C610FA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CE306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E4867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C6E7C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276770" w14:textId="77777777" w:rsidR="003E73C2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</w:t>
      </w:r>
    </w:p>
    <w:p w14:paraId="7FB7E5BC" w14:textId="3782B38B" w:rsidR="003E73C2" w:rsidRPr="00F40F95" w:rsidRDefault="003E73C2" w:rsidP="005E4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фінансової звітності – головний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10FA">
        <w:rPr>
          <w:rFonts w:ascii="Times New Roman" w:hAnsi="Times New Roman"/>
          <w:sz w:val="28"/>
          <w:szCs w:val="28"/>
        </w:rPr>
        <w:t xml:space="preserve">     Тетяна МИХАЙЛОВА</w:t>
      </w:r>
    </w:p>
    <w:sectPr w:rsidR="003E73C2" w:rsidRPr="00F40F95" w:rsidSect="00C610F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4D0"/>
    <w:multiLevelType w:val="hybridMultilevel"/>
    <w:tmpl w:val="6C4AB16E"/>
    <w:lvl w:ilvl="0" w:tplc="0A9A1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73080"/>
    <w:multiLevelType w:val="hybridMultilevel"/>
    <w:tmpl w:val="8E444024"/>
    <w:lvl w:ilvl="0" w:tplc="D00264E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7F53B6"/>
    <w:multiLevelType w:val="hybridMultilevel"/>
    <w:tmpl w:val="6F26671E"/>
    <w:lvl w:ilvl="0" w:tplc="18248B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1BFA"/>
    <w:multiLevelType w:val="hybridMultilevel"/>
    <w:tmpl w:val="70226CB8"/>
    <w:lvl w:ilvl="0" w:tplc="6A969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D507F66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00C04"/>
    <w:multiLevelType w:val="hybridMultilevel"/>
    <w:tmpl w:val="BA32A516"/>
    <w:lvl w:ilvl="0" w:tplc="BF7CB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1F5"/>
    <w:multiLevelType w:val="hybridMultilevel"/>
    <w:tmpl w:val="3476EB40"/>
    <w:lvl w:ilvl="0" w:tplc="CB42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C57AB2"/>
    <w:multiLevelType w:val="hybridMultilevel"/>
    <w:tmpl w:val="8E5A74EC"/>
    <w:lvl w:ilvl="0" w:tplc="7FB48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56B66"/>
    <w:multiLevelType w:val="hybridMultilevel"/>
    <w:tmpl w:val="06D8DF30"/>
    <w:lvl w:ilvl="0" w:tplc="57C490D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F"/>
    <w:rsid w:val="00000E80"/>
    <w:rsid w:val="00037F7D"/>
    <w:rsid w:val="000402DA"/>
    <w:rsid w:val="00044CCA"/>
    <w:rsid w:val="0004507A"/>
    <w:rsid w:val="00077443"/>
    <w:rsid w:val="0009793A"/>
    <w:rsid w:val="000B431A"/>
    <w:rsid w:val="000B78BA"/>
    <w:rsid w:val="000C1A19"/>
    <w:rsid w:val="000C3A35"/>
    <w:rsid w:val="000D5A41"/>
    <w:rsid w:val="00111C8F"/>
    <w:rsid w:val="00125DEA"/>
    <w:rsid w:val="00134734"/>
    <w:rsid w:val="00143AF3"/>
    <w:rsid w:val="001B5EAA"/>
    <w:rsid w:val="001D3DBA"/>
    <w:rsid w:val="001F2EF2"/>
    <w:rsid w:val="00213309"/>
    <w:rsid w:val="00231CAD"/>
    <w:rsid w:val="00247270"/>
    <w:rsid w:val="00273CA9"/>
    <w:rsid w:val="00284873"/>
    <w:rsid w:val="00290AD8"/>
    <w:rsid w:val="00294DE3"/>
    <w:rsid w:val="002A12C2"/>
    <w:rsid w:val="002B0C83"/>
    <w:rsid w:val="002F6499"/>
    <w:rsid w:val="00310A42"/>
    <w:rsid w:val="00316DF3"/>
    <w:rsid w:val="003264DD"/>
    <w:rsid w:val="00351522"/>
    <w:rsid w:val="003555C7"/>
    <w:rsid w:val="003B4FD2"/>
    <w:rsid w:val="003E6C4A"/>
    <w:rsid w:val="003E73C2"/>
    <w:rsid w:val="003F7B37"/>
    <w:rsid w:val="00404616"/>
    <w:rsid w:val="004201A9"/>
    <w:rsid w:val="0043407A"/>
    <w:rsid w:val="004418D7"/>
    <w:rsid w:val="0044740D"/>
    <w:rsid w:val="004539C2"/>
    <w:rsid w:val="00471E93"/>
    <w:rsid w:val="00493E5C"/>
    <w:rsid w:val="004B5873"/>
    <w:rsid w:val="004B73A0"/>
    <w:rsid w:val="004C1689"/>
    <w:rsid w:val="004C59D0"/>
    <w:rsid w:val="004D7482"/>
    <w:rsid w:val="00502E2E"/>
    <w:rsid w:val="005202E8"/>
    <w:rsid w:val="0053505F"/>
    <w:rsid w:val="00562878"/>
    <w:rsid w:val="00574CC0"/>
    <w:rsid w:val="00575984"/>
    <w:rsid w:val="00583138"/>
    <w:rsid w:val="00585FB2"/>
    <w:rsid w:val="005941C3"/>
    <w:rsid w:val="005B7535"/>
    <w:rsid w:val="005E4FBC"/>
    <w:rsid w:val="00625BC4"/>
    <w:rsid w:val="0063372E"/>
    <w:rsid w:val="0064356B"/>
    <w:rsid w:val="006479F7"/>
    <w:rsid w:val="00660AD5"/>
    <w:rsid w:val="0067215D"/>
    <w:rsid w:val="00673FBD"/>
    <w:rsid w:val="006842DB"/>
    <w:rsid w:val="00690CDC"/>
    <w:rsid w:val="00691407"/>
    <w:rsid w:val="00692685"/>
    <w:rsid w:val="006A421C"/>
    <w:rsid w:val="006A431D"/>
    <w:rsid w:val="006C24E0"/>
    <w:rsid w:val="006C2868"/>
    <w:rsid w:val="006E6527"/>
    <w:rsid w:val="00702809"/>
    <w:rsid w:val="007039DA"/>
    <w:rsid w:val="00721D01"/>
    <w:rsid w:val="00722D52"/>
    <w:rsid w:val="00740C00"/>
    <w:rsid w:val="0074715D"/>
    <w:rsid w:val="00756D74"/>
    <w:rsid w:val="00763661"/>
    <w:rsid w:val="00764B73"/>
    <w:rsid w:val="007729DE"/>
    <w:rsid w:val="007937CB"/>
    <w:rsid w:val="007A0D91"/>
    <w:rsid w:val="007B7970"/>
    <w:rsid w:val="007C4180"/>
    <w:rsid w:val="007E23F6"/>
    <w:rsid w:val="007F66AD"/>
    <w:rsid w:val="00810EBB"/>
    <w:rsid w:val="008220A3"/>
    <w:rsid w:val="008508CA"/>
    <w:rsid w:val="0085266E"/>
    <w:rsid w:val="0086123D"/>
    <w:rsid w:val="008655AF"/>
    <w:rsid w:val="0087274A"/>
    <w:rsid w:val="008970D3"/>
    <w:rsid w:val="008C3B44"/>
    <w:rsid w:val="00964EA4"/>
    <w:rsid w:val="00976909"/>
    <w:rsid w:val="00976C52"/>
    <w:rsid w:val="009821D0"/>
    <w:rsid w:val="00997BD1"/>
    <w:rsid w:val="009A4FF0"/>
    <w:rsid w:val="009B4DE2"/>
    <w:rsid w:val="00A04A36"/>
    <w:rsid w:val="00A20FFD"/>
    <w:rsid w:val="00A3365B"/>
    <w:rsid w:val="00A45B25"/>
    <w:rsid w:val="00A53892"/>
    <w:rsid w:val="00AB3310"/>
    <w:rsid w:val="00AF2DE2"/>
    <w:rsid w:val="00B02E1E"/>
    <w:rsid w:val="00B168DA"/>
    <w:rsid w:val="00B22785"/>
    <w:rsid w:val="00B439CA"/>
    <w:rsid w:val="00B94798"/>
    <w:rsid w:val="00BC5D09"/>
    <w:rsid w:val="00BE5A8E"/>
    <w:rsid w:val="00BF1DC8"/>
    <w:rsid w:val="00C04B1F"/>
    <w:rsid w:val="00C1567A"/>
    <w:rsid w:val="00C610FA"/>
    <w:rsid w:val="00C8054F"/>
    <w:rsid w:val="00CA2230"/>
    <w:rsid w:val="00CB3DC4"/>
    <w:rsid w:val="00CD688F"/>
    <w:rsid w:val="00CE18BA"/>
    <w:rsid w:val="00CF55AA"/>
    <w:rsid w:val="00CF7150"/>
    <w:rsid w:val="00D20E9C"/>
    <w:rsid w:val="00D50B1A"/>
    <w:rsid w:val="00D55483"/>
    <w:rsid w:val="00D80930"/>
    <w:rsid w:val="00DB3170"/>
    <w:rsid w:val="00DC0DE1"/>
    <w:rsid w:val="00DC2B33"/>
    <w:rsid w:val="00DE4CB7"/>
    <w:rsid w:val="00E1077D"/>
    <w:rsid w:val="00E43B5C"/>
    <w:rsid w:val="00E5425B"/>
    <w:rsid w:val="00E619F4"/>
    <w:rsid w:val="00E73C0E"/>
    <w:rsid w:val="00E74169"/>
    <w:rsid w:val="00E7556C"/>
    <w:rsid w:val="00E75731"/>
    <w:rsid w:val="00E80281"/>
    <w:rsid w:val="00E82BA7"/>
    <w:rsid w:val="00EA3049"/>
    <w:rsid w:val="00ED5E40"/>
    <w:rsid w:val="00EE624D"/>
    <w:rsid w:val="00F14191"/>
    <w:rsid w:val="00F26C98"/>
    <w:rsid w:val="00F40F95"/>
    <w:rsid w:val="00F50696"/>
    <w:rsid w:val="00F665F7"/>
    <w:rsid w:val="00F7502F"/>
    <w:rsid w:val="00F845CC"/>
    <w:rsid w:val="00F97DF4"/>
    <w:rsid w:val="00FB0D31"/>
    <w:rsid w:val="00FB5485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C04"/>
  <w15:docId w15:val="{16937D64-A44E-41DF-BF85-693FD29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4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0"/>
    <w:pPr>
      <w:ind w:left="720"/>
      <w:contextualSpacing/>
    </w:pPr>
  </w:style>
  <w:style w:type="paragraph" w:styleId="a4">
    <w:name w:val="No Spacing"/>
    <w:uiPriority w:val="1"/>
    <w:qFormat/>
    <w:rsid w:val="00E1077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rvts58">
    <w:name w:val="rvts58"/>
    <w:basedOn w:val="a0"/>
    <w:rsid w:val="00F97DF4"/>
  </w:style>
  <w:style w:type="paragraph" w:styleId="a5">
    <w:name w:val="Balloon Text"/>
    <w:basedOn w:val="a"/>
    <w:link w:val="a6"/>
    <w:uiPriority w:val="99"/>
    <w:semiHidden/>
    <w:unhideWhenUsed/>
    <w:rsid w:val="003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C24D-18F7-48A2-A365-BD43513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Vizirka</dc:creator>
  <cp:keywords/>
  <dc:description/>
  <cp:lastModifiedBy>EMPLOYEE</cp:lastModifiedBy>
  <cp:revision>16</cp:revision>
  <cp:lastPrinted>2024-02-01T09:31:00Z</cp:lastPrinted>
  <dcterms:created xsi:type="dcterms:W3CDTF">2023-02-07T13:07:00Z</dcterms:created>
  <dcterms:modified xsi:type="dcterms:W3CDTF">2024-02-01T09:33:00Z</dcterms:modified>
</cp:coreProperties>
</file>