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663C3F" w:rsidRPr="00663C3F">
        <w:rPr>
          <w:rFonts w:ascii="Times New Roman" w:hAnsi="Times New Roman"/>
          <w:sz w:val="28"/>
          <w:lang w:val="uk-UA"/>
        </w:rPr>
        <w:t xml:space="preserve">5122783200:01:002:3079, площею 0,0600 га, що розташована за </w:t>
      </w:r>
      <w:proofErr w:type="spellStart"/>
      <w:r w:rsidR="00663C3F" w:rsidRPr="00663C3F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663C3F" w:rsidRPr="00663C3F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663C3F" w:rsidRPr="00663C3F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663C3F" w:rsidRPr="00663C3F">
        <w:rPr>
          <w:rFonts w:ascii="Times New Roman" w:hAnsi="Times New Roman"/>
          <w:sz w:val="28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«НОВА КРИЖАНІВКА»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1B4B75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63C3F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A44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3</cp:revision>
  <dcterms:created xsi:type="dcterms:W3CDTF">2024-02-27T07:28:00Z</dcterms:created>
  <dcterms:modified xsi:type="dcterms:W3CDTF">2024-02-27T07:28:00Z</dcterms:modified>
</cp:coreProperties>
</file>